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C99" w:rsidRPr="00B62E11" w:rsidRDefault="002D2C99" w:rsidP="00B62E11">
      <w:pPr>
        <w:pStyle w:val="ECHRDecisionBody"/>
        <w:jc w:val="center"/>
        <w:rPr>
          <w:lang w:val="fr-FR"/>
        </w:rPr>
      </w:pPr>
      <w:bookmarkStart w:id="0" w:name="_GoBack"/>
      <w:bookmarkEnd w:id="0"/>
    </w:p>
    <w:p w:rsidR="002D2C99" w:rsidRPr="00B62E11" w:rsidRDefault="002D2C99" w:rsidP="00B62E11">
      <w:pPr>
        <w:jc w:val="center"/>
        <w:rPr>
          <w:lang w:val="fr-FR"/>
        </w:rPr>
      </w:pPr>
    </w:p>
    <w:p w:rsidR="002D2C99" w:rsidRPr="00B62E11" w:rsidRDefault="00CD5A52" w:rsidP="00B62E11">
      <w:pPr>
        <w:tabs>
          <w:tab w:val="left" w:pos="5529"/>
        </w:tabs>
        <w:jc w:val="center"/>
        <w:rPr>
          <w:lang w:val="fr-FR"/>
        </w:rPr>
      </w:pPr>
      <w:r w:rsidRPr="00B62E11">
        <w:rPr>
          <w:lang w:val="fr-FR"/>
        </w:rPr>
        <w:t>QUATRIÈME SECTION</w:t>
      </w:r>
    </w:p>
    <w:p w:rsidR="002D2C99" w:rsidRPr="00B62E11" w:rsidRDefault="002D2C99" w:rsidP="00B62E11">
      <w:pPr>
        <w:jc w:val="center"/>
        <w:rPr>
          <w:lang w:val="fr-FR"/>
        </w:rPr>
      </w:pPr>
    </w:p>
    <w:p w:rsidR="002D2C99" w:rsidRPr="00B62E11" w:rsidRDefault="002D2C99" w:rsidP="00B62E11">
      <w:pPr>
        <w:jc w:val="center"/>
        <w:rPr>
          <w:lang w:val="fr-FR"/>
        </w:rPr>
      </w:pPr>
    </w:p>
    <w:p w:rsidR="002D2C99" w:rsidRPr="00B62E11" w:rsidRDefault="002D2C99" w:rsidP="00B62E11">
      <w:pPr>
        <w:jc w:val="center"/>
        <w:rPr>
          <w:lang w:val="fr-FR"/>
        </w:rPr>
      </w:pPr>
    </w:p>
    <w:p w:rsidR="002D2C99" w:rsidRPr="00B62E11" w:rsidRDefault="002D2C99" w:rsidP="00B62E11">
      <w:pPr>
        <w:jc w:val="center"/>
        <w:rPr>
          <w:lang w:val="fr-FR"/>
        </w:rPr>
      </w:pPr>
    </w:p>
    <w:p w:rsidR="002D2C99" w:rsidRPr="00B62E11" w:rsidRDefault="002D2C99" w:rsidP="00B62E11">
      <w:pPr>
        <w:jc w:val="center"/>
        <w:rPr>
          <w:lang w:val="fr-FR"/>
        </w:rPr>
      </w:pPr>
    </w:p>
    <w:p w:rsidR="002D2C99" w:rsidRPr="00B62E11" w:rsidRDefault="002D2C99" w:rsidP="00B62E11">
      <w:pPr>
        <w:jc w:val="center"/>
        <w:rPr>
          <w:lang w:val="fr-FR"/>
        </w:rPr>
      </w:pPr>
    </w:p>
    <w:p w:rsidR="002D2C99" w:rsidRPr="00B62E11" w:rsidRDefault="002D2C99" w:rsidP="00B62E11">
      <w:pPr>
        <w:jc w:val="center"/>
        <w:rPr>
          <w:b/>
          <w:lang w:val="fr-FR"/>
        </w:rPr>
      </w:pPr>
      <w:r w:rsidRPr="00B62E11">
        <w:rPr>
          <w:b/>
          <w:lang w:val="fr-FR"/>
        </w:rPr>
        <w:t xml:space="preserve">AFFAIRE </w:t>
      </w:r>
      <w:r w:rsidR="00CD5A52" w:rsidRPr="00B62E11">
        <w:rPr>
          <w:b/>
          <w:lang w:val="fr-FR"/>
        </w:rPr>
        <w:t>PREITE c. ITALIE</w:t>
      </w:r>
    </w:p>
    <w:p w:rsidR="002D2C99" w:rsidRPr="00B62E11" w:rsidRDefault="002D2C99" w:rsidP="00B62E11">
      <w:pPr>
        <w:jc w:val="center"/>
        <w:rPr>
          <w:lang w:val="fr-FR"/>
        </w:rPr>
      </w:pPr>
    </w:p>
    <w:p w:rsidR="002D2C99" w:rsidRPr="00B62E11" w:rsidRDefault="002D2C99" w:rsidP="00B62E11">
      <w:pPr>
        <w:jc w:val="center"/>
        <w:rPr>
          <w:i/>
          <w:lang w:val="fr-FR"/>
        </w:rPr>
      </w:pPr>
      <w:r w:rsidRPr="00B62E11">
        <w:rPr>
          <w:i/>
          <w:lang w:val="fr-FR"/>
        </w:rPr>
        <w:t>(Requête n</w:t>
      </w:r>
      <w:r w:rsidRPr="00B62E11">
        <w:rPr>
          <w:i/>
          <w:vertAlign w:val="superscript"/>
          <w:lang w:val="fr-FR"/>
        </w:rPr>
        <w:t>o</w:t>
      </w:r>
      <w:r w:rsidRPr="00B62E11">
        <w:rPr>
          <w:i/>
          <w:lang w:val="fr-FR"/>
        </w:rPr>
        <w:t xml:space="preserve"> </w:t>
      </w:r>
      <w:r w:rsidR="00CD5A52" w:rsidRPr="00B62E11">
        <w:rPr>
          <w:i/>
          <w:lang w:val="fr-FR"/>
        </w:rPr>
        <w:t>28976/05</w:t>
      </w:r>
      <w:r w:rsidRPr="00B62E11">
        <w:rPr>
          <w:i/>
          <w:lang w:val="fr-FR"/>
        </w:rPr>
        <w:t>)</w:t>
      </w:r>
    </w:p>
    <w:p w:rsidR="002D2C99" w:rsidRPr="00B62E11" w:rsidRDefault="002D2C99" w:rsidP="00B62E11">
      <w:pPr>
        <w:jc w:val="center"/>
        <w:rPr>
          <w:lang w:val="fr-FR"/>
        </w:rPr>
      </w:pPr>
    </w:p>
    <w:p w:rsidR="002D2C99" w:rsidRPr="00B62E11" w:rsidRDefault="002D2C99" w:rsidP="00B62E11">
      <w:pPr>
        <w:jc w:val="center"/>
        <w:rPr>
          <w:lang w:val="fr-FR"/>
        </w:rPr>
      </w:pPr>
    </w:p>
    <w:p w:rsidR="002D2C99" w:rsidRPr="00B62E11" w:rsidRDefault="002D2C99" w:rsidP="00B62E11">
      <w:pPr>
        <w:jc w:val="center"/>
        <w:rPr>
          <w:lang w:val="fr-FR"/>
        </w:rPr>
      </w:pPr>
    </w:p>
    <w:p w:rsidR="002D2C99" w:rsidRPr="00B62E11" w:rsidRDefault="002D2C99" w:rsidP="00B62E11">
      <w:pPr>
        <w:jc w:val="center"/>
        <w:rPr>
          <w:lang w:val="fr-FR"/>
        </w:rPr>
      </w:pPr>
    </w:p>
    <w:p w:rsidR="002D2C99" w:rsidRPr="00B62E11" w:rsidRDefault="002D2C99" w:rsidP="00B62E11">
      <w:pPr>
        <w:jc w:val="center"/>
        <w:rPr>
          <w:lang w:val="fr-FR"/>
        </w:rPr>
      </w:pPr>
    </w:p>
    <w:p w:rsidR="002D2C99" w:rsidRPr="00B62E11" w:rsidRDefault="002D2C99" w:rsidP="00B62E11">
      <w:pPr>
        <w:jc w:val="center"/>
        <w:rPr>
          <w:lang w:val="fr-FR"/>
        </w:rPr>
      </w:pPr>
    </w:p>
    <w:p w:rsidR="002D2C99" w:rsidRPr="00B62E11" w:rsidRDefault="002D2C99" w:rsidP="00B62E11">
      <w:pPr>
        <w:jc w:val="center"/>
        <w:rPr>
          <w:lang w:val="fr-FR"/>
        </w:rPr>
      </w:pPr>
    </w:p>
    <w:p w:rsidR="002D2C99" w:rsidRPr="00B62E11" w:rsidRDefault="002D2C99" w:rsidP="00B62E11">
      <w:pPr>
        <w:jc w:val="center"/>
        <w:rPr>
          <w:lang w:val="fr-FR"/>
        </w:rPr>
      </w:pPr>
    </w:p>
    <w:p w:rsidR="002D2C99" w:rsidRPr="00B62E11" w:rsidRDefault="002D2C99" w:rsidP="00B62E11">
      <w:pPr>
        <w:jc w:val="center"/>
        <w:rPr>
          <w:lang w:val="fr-FR"/>
        </w:rPr>
      </w:pPr>
    </w:p>
    <w:p w:rsidR="002D2C99" w:rsidRPr="00B62E11" w:rsidRDefault="002D2C99" w:rsidP="00B62E11">
      <w:pPr>
        <w:jc w:val="center"/>
        <w:rPr>
          <w:lang w:val="fr-FR"/>
        </w:rPr>
      </w:pPr>
    </w:p>
    <w:p w:rsidR="002D2C99" w:rsidRPr="00B62E11" w:rsidRDefault="002D2C99" w:rsidP="00B62E11">
      <w:pPr>
        <w:jc w:val="center"/>
        <w:rPr>
          <w:lang w:val="fr-FR"/>
        </w:rPr>
      </w:pPr>
      <w:r w:rsidRPr="00B62E11">
        <w:rPr>
          <w:lang w:val="fr-FR"/>
        </w:rPr>
        <w:t>ARRÊT</w:t>
      </w:r>
    </w:p>
    <w:p w:rsidR="002D2C99" w:rsidRPr="00B62E11" w:rsidRDefault="002D2C99" w:rsidP="00B62E11">
      <w:pPr>
        <w:jc w:val="center"/>
        <w:rPr>
          <w:lang w:val="fr-FR"/>
        </w:rPr>
      </w:pPr>
    </w:p>
    <w:p w:rsidR="002D2C99" w:rsidRPr="00B62E11" w:rsidRDefault="002D2C99" w:rsidP="00B62E11">
      <w:pPr>
        <w:jc w:val="center"/>
        <w:rPr>
          <w:i/>
          <w:lang w:val="fr-FR"/>
        </w:rPr>
      </w:pPr>
    </w:p>
    <w:p w:rsidR="002D2C99" w:rsidRPr="00B62E11" w:rsidRDefault="002D2C99" w:rsidP="00B62E11">
      <w:pPr>
        <w:jc w:val="center"/>
        <w:rPr>
          <w:lang w:val="fr-FR"/>
        </w:rPr>
      </w:pPr>
    </w:p>
    <w:p w:rsidR="002D2C99" w:rsidRPr="00B62E11" w:rsidRDefault="002D2C99" w:rsidP="00B62E11">
      <w:pPr>
        <w:jc w:val="center"/>
        <w:rPr>
          <w:lang w:val="fr-FR"/>
        </w:rPr>
      </w:pPr>
      <w:r w:rsidRPr="00B62E11">
        <w:rPr>
          <w:lang w:val="fr-FR"/>
        </w:rPr>
        <w:t>STRASBOURG</w:t>
      </w:r>
    </w:p>
    <w:p w:rsidR="002D2C99" w:rsidRPr="00B62E11" w:rsidRDefault="002D2C99" w:rsidP="00B62E11">
      <w:pPr>
        <w:jc w:val="center"/>
        <w:rPr>
          <w:lang w:val="fr-FR"/>
        </w:rPr>
      </w:pPr>
    </w:p>
    <w:p w:rsidR="002D2C99" w:rsidRPr="00B62E11" w:rsidRDefault="00AB32C3" w:rsidP="00B62E11">
      <w:pPr>
        <w:jc w:val="center"/>
        <w:rPr>
          <w:lang w:val="fr-FR"/>
        </w:rPr>
      </w:pPr>
      <w:r w:rsidRPr="00B62E11">
        <w:rPr>
          <w:lang w:val="fr-FR"/>
        </w:rPr>
        <w:t>17</w:t>
      </w:r>
      <w:r w:rsidR="00CD5A52" w:rsidRPr="00B62E11">
        <w:rPr>
          <w:lang w:val="fr-FR"/>
        </w:rPr>
        <w:t xml:space="preserve"> </w:t>
      </w:r>
      <w:r w:rsidRPr="00B62E11">
        <w:rPr>
          <w:lang w:val="fr-FR"/>
        </w:rPr>
        <w:t>novembre</w:t>
      </w:r>
      <w:r w:rsidR="00CD5A52" w:rsidRPr="00B62E11">
        <w:rPr>
          <w:lang w:val="fr-FR"/>
        </w:rPr>
        <w:t xml:space="preserve"> 2015</w:t>
      </w:r>
    </w:p>
    <w:p w:rsidR="002D2C99" w:rsidRPr="00B62E11" w:rsidRDefault="002D2C99" w:rsidP="00B62E11">
      <w:pPr>
        <w:jc w:val="center"/>
        <w:rPr>
          <w:lang w:val="fr-FR"/>
        </w:rPr>
      </w:pPr>
    </w:p>
    <w:p w:rsidR="002D2C99" w:rsidRPr="00B62E11" w:rsidRDefault="002D2C99" w:rsidP="00B62E11">
      <w:pPr>
        <w:jc w:val="center"/>
        <w:rPr>
          <w:lang w:val="fr-FR"/>
        </w:rPr>
      </w:pPr>
    </w:p>
    <w:p w:rsidR="00AB32C3" w:rsidRPr="00B62E11" w:rsidRDefault="00AB32C3" w:rsidP="00B62E11">
      <w:pPr>
        <w:jc w:val="center"/>
        <w:rPr>
          <w:lang w:val="fr-FR"/>
        </w:rPr>
      </w:pPr>
    </w:p>
    <w:p w:rsidR="00AB32C3" w:rsidRPr="00B62E11" w:rsidRDefault="00AB32C3" w:rsidP="00B62E11">
      <w:pPr>
        <w:jc w:val="center"/>
        <w:rPr>
          <w:lang w:val="fr-FR"/>
        </w:rPr>
      </w:pPr>
    </w:p>
    <w:p w:rsidR="00AB32C3" w:rsidRPr="00B62E11" w:rsidRDefault="00AB32C3" w:rsidP="00B62E11">
      <w:pPr>
        <w:jc w:val="center"/>
        <w:rPr>
          <w:lang w:val="fr-FR"/>
        </w:rPr>
      </w:pPr>
    </w:p>
    <w:p w:rsidR="00AB32C3" w:rsidRPr="00B62E11" w:rsidRDefault="00AB32C3" w:rsidP="00B62E11">
      <w:pPr>
        <w:jc w:val="center"/>
        <w:rPr>
          <w:lang w:val="fr-FR"/>
        </w:rPr>
      </w:pPr>
    </w:p>
    <w:p w:rsidR="00AB32C3" w:rsidRPr="00B62E11" w:rsidRDefault="00AB32C3" w:rsidP="00B62E11">
      <w:pPr>
        <w:jc w:val="center"/>
        <w:rPr>
          <w:lang w:val="fr-FR"/>
        </w:rPr>
      </w:pPr>
    </w:p>
    <w:p w:rsidR="002D2C99" w:rsidRPr="00B62E11" w:rsidRDefault="002D2C99" w:rsidP="00B62E11">
      <w:pPr>
        <w:jc w:val="left"/>
        <w:rPr>
          <w:i/>
          <w:lang w:val="fr-FR"/>
        </w:rPr>
      </w:pPr>
      <w:r w:rsidRPr="00B62E11">
        <w:rPr>
          <w:i/>
          <w:sz w:val="22"/>
          <w:lang w:val="fr-FR"/>
        </w:rPr>
        <w:t>Cet arrêt</w:t>
      </w:r>
      <w:r w:rsidR="00CD5A52" w:rsidRPr="00B62E11">
        <w:rPr>
          <w:i/>
          <w:sz w:val="22"/>
          <w:lang w:val="fr-FR"/>
        </w:rPr>
        <w:t xml:space="preserve"> deviendra définitif dans les conditions définies à l</w:t>
      </w:r>
      <w:r w:rsidR="00B62E11" w:rsidRPr="00B62E11">
        <w:rPr>
          <w:i/>
          <w:sz w:val="22"/>
          <w:lang w:val="fr-FR"/>
        </w:rPr>
        <w:t>’</w:t>
      </w:r>
      <w:r w:rsidR="00CD5A52" w:rsidRPr="00B62E11">
        <w:rPr>
          <w:i/>
          <w:sz w:val="22"/>
          <w:lang w:val="fr-FR"/>
        </w:rPr>
        <w:t>article 44 § 2 de la Convention</w:t>
      </w:r>
      <w:r w:rsidRPr="00B62E11">
        <w:rPr>
          <w:i/>
          <w:sz w:val="22"/>
          <w:lang w:val="fr-FR"/>
        </w:rPr>
        <w:t>. Il peut subir des retouches de forme.</w:t>
      </w:r>
    </w:p>
    <w:p w:rsidR="002D2C99" w:rsidRPr="00B62E11" w:rsidRDefault="002D2C99" w:rsidP="00B62E11">
      <w:pPr>
        <w:rPr>
          <w:lang w:val="fr-FR"/>
        </w:rPr>
        <w:sectPr w:rsidR="002D2C99" w:rsidRPr="00B62E11" w:rsidSect="00F5432B">
          <w:headerReference w:type="default" r:id="rId11"/>
          <w:footerReference w:type="default" r:id="rId12"/>
          <w:pgSz w:w="11906" w:h="16838" w:code="9"/>
          <w:pgMar w:top="2274" w:right="2274" w:bottom="2274" w:left="2274" w:header="1701" w:footer="720" w:gutter="0"/>
          <w:pgNumType w:start="1"/>
          <w:cols w:space="720"/>
          <w:noEndnote/>
        </w:sectPr>
      </w:pPr>
    </w:p>
    <w:p w:rsidR="002D2C99" w:rsidRPr="00B62E11" w:rsidRDefault="002D2C99" w:rsidP="00B62E11">
      <w:pPr>
        <w:pStyle w:val="JuCase"/>
        <w:rPr>
          <w:lang w:val="fr-FR"/>
        </w:rPr>
      </w:pPr>
      <w:r w:rsidRPr="00B62E11">
        <w:rPr>
          <w:lang w:val="fr-FR"/>
        </w:rPr>
        <w:lastRenderedPageBreak/>
        <w:t>En l</w:t>
      </w:r>
      <w:r w:rsidR="00B62E11" w:rsidRPr="00B62E11">
        <w:rPr>
          <w:lang w:val="fr-FR"/>
        </w:rPr>
        <w:t>’</w:t>
      </w:r>
      <w:r w:rsidRPr="00B62E11">
        <w:rPr>
          <w:lang w:val="fr-FR"/>
        </w:rPr>
        <w:t xml:space="preserve">affaire </w:t>
      </w:r>
      <w:r w:rsidR="00CD5A52" w:rsidRPr="00B62E11">
        <w:rPr>
          <w:lang w:val="fr-FR"/>
        </w:rPr>
        <w:t>Preite c. Italie</w:t>
      </w:r>
      <w:r w:rsidRPr="00B62E11">
        <w:rPr>
          <w:lang w:val="fr-FR"/>
        </w:rPr>
        <w:t>,</w:t>
      </w:r>
    </w:p>
    <w:p w:rsidR="007B2119" w:rsidRPr="00B62E11" w:rsidRDefault="007B2119" w:rsidP="00B62E11">
      <w:pPr>
        <w:pStyle w:val="ECHRPara"/>
        <w:rPr>
          <w:lang w:val="fr-FR"/>
        </w:rPr>
      </w:pPr>
      <w:r w:rsidRPr="00B62E11">
        <w:rPr>
          <w:lang w:val="fr-FR"/>
        </w:rPr>
        <w:t>La Cour européenne des droits de l</w:t>
      </w:r>
      <w:r w:rsidR="00B62E11" w:rsidRPr="00B62E11">
        <w:rPr>
          <w:lang w:val="fr-FR"/>
        </w:rPr>
        <w:t>’</w:t>
      </w:r>
      <w:r w:rsidRPr="00B62E11">
        <w:rPr>
          <w:lang w:val="fr-FR"/>
        </w:rPr>
        <w:t>homme (quatrième section), siégeant en une chambre composée de :</w:t>
      </w:r>
    </w:p>
    <w:p w:rsidR="007B2119" w:rsidRPr="00B62E11" w:rsidRDefault="007B2119" w:rsidP="00B62E11">
      <w:pPr>
        <w:pStyle w:val="ECHRDecisionBody"/>
        <w:rPr>
          <w:lang w:val="fr-FR"/>
        </w:rPr>
      </w:pPr>
      <w:r w:rsidRPr="00B62E11">
        <w:rPr>
          <w:lang w:val="fr-FR"/>
        </w:rPr>
        <w:tab/>
        <w:t>Päivi Hirvelä,</w:t>
      </w:r>
      <w:r w:rsidRPr="00B62E11">
        <w:rPr>
          <w:i/>
          <w:lang w:val="fr-FR"/>
        </w:rPr>
        <w:t xml:space="preserve"> présidente,</w:t>
      </w:r>
      <w:r w:rsidRPr="00B62E11">
        <w:rPr>
          <w:i/>
          <w:lang w:val="fr-FR"/>
        </w:rPr>
        <w:br/>
      </w:r>
      <w:r w:rsidRPr="00B62E11">
        <w:rPr>
          <w:lang w:val="fr-FR"/>
        </w:rPr>
        <w:tab/>
        <w:t>Guido Raimondi,</w:t>
      </w:r>
      <w:r w:rsidRPr="00B62E11">
        <w:rPr>
          <w:i/>
          <w:lang w:val="fr-FR"/>
        </w:rPr>
        <w:br/>
      </w:r>
      <w:r w:rsidRPr="00B62E11">
        <w:rPr>
          <w:lang w:val="fr-FR"/>
        </w:rPr>
        <w:tab/>
        <w:t>George Nicolaou,</w:t>
      </w:r>
      <w:r w:rsidRPr="00B62E11">
        <w:rPr>
          <w:i/>
          <w:lang w:val="fr-FR"/>
        </w:rPr>
        <w:br/>
      </w:r>
      <w:r w:rsidRPr="00B62E11">
        <w:rPr>
          <w:lang w:val="fr-FR"/>
        </w:rPr>
        <w:tab/>
        <w:t>Ledi Bianku,</w:t>
      </w:r>
      <w:r w:rsidRPr="00B62E11">
        <w:rPr>
          <w:i/>
          <w:lang w:val="fr-FR"/>
        </w:rPr>
        <w:br/>
      </w:r>
      <w:r w:rsidRPr="00B62E11">
        <w:rPr>
          <w:lang w:val="fr-FR"/>
        </w:rPr>
        <w:tab/>
        <w:t>Krzysztof Wojtyczek,</w:t>
      </w:r>
      <w:r w:rsidRPr="00B62E11">
        <w:rPr>
          <w:i/>
          <w:lang w:val="fr-FR"/>
        </w:rPr>
        <w:br/>
      </w:r>
      <w:r w:rsidRPr="00B62E11">
        <w:rPr>
          <w:lang w:val="fr-FR"/>
        </w:rPr>
        <w:tab/>
        <w:t>Faris Vehabović,</w:t>
      </w:r>
      <w:r w:rsidRPr="00B62E11">
        <w:rPr>
          <w:i/>
          <w:lang w:val="fr-FR"/>
        </w:rPr>
        <w:br/>
      </w:r>
      <w:r w:rsidRPr="00B62E11">
        <w:rPr>
          <w:lang w:val="fr-FR"/>
        </w:rPr>
        <w:tab/>
        <w:t>Yonko Grozev,</w:t>
      </w:r>
      <w:r w:rsidRPr="00B62E11">
        <w:rPr>
          <w:i/>
          <w:lang w:val="fr-FR"/>
        </w:rPr>
        <w:t xml:space="preserve"> juges,</w:t>
      </w:r>
      <w:r w:rsidRPr="00B62E11">
        <w:rPr>
          <w:lang w:val="fr-FR"/>
        </w:rPr>
        <w:br/>
        <w:t xml:space="preserve">et de Françoise Elens-Passos, </w:t>
      </w:r>
      <w:r w:rsidRPr="00B62E11">
        <w:rPr>
          <w:i/>
          <w:lang w:val="fr-FR"/>
        </w:rPr>
        <w:t>greffière</w:t>
      </w:r>
      <w:r w:rsidRPr="00B62E11">
        <w:rPr>
          <w:iCs/>
          <w:lang w:val="fr-FR"/>
        </w:rPr>
        <w:t xml:space="preserve"> </w:t>
      </w:r>
      <w:r w:rsidRPr="00B62E11">
        <w:rPr>
          <w:i/>
          <w:iCs/>
          <w:lang w:val="fr-FR"/>
        </w:rPr>
        <w:t>d</w:t>
      </w:r>
      <w:r w:rsidRPr="00B62E11">
        <w:rPr>
          <w:i/>
          <w:lang w:val="fr-FR"/>
        </w:rPr>
        <w:t>e section,</w:t>
      </w:r>
    </w:p>
    <w:p w:rsidR="007B2119" w:rsidRPr="00B62E11" w:rsidRDefault="007B2119" w:rsidP="00B62E11">
      <w:pPr>
        <w:pStyle w:val="ECHRPara"/>
        <w:rPr>
          <w:lang w:val="fr-FR"/>
        </w:rPr>
      </w:pPr>
      <w:r w:rsidRPr="00B62E11">
        <w:rPr>
          <w:lang w:val="fr-FR"/>
        </w:rPr>
        <w:t>Après en avoir délibéré en chambre du conseil le 20 octobre 2015,</w:t>
      </w:r>
    </w:p>
    <w:p w:rsidR="007B2119" w:rsidRPr="00B62E11" w:rsidRDefault="007B2119" w:rsidP="00B62E11">
      <w:pPr>
        <w:pStyle w:val="ECHRPara"/>
        <w:rPr>
          <w:lang w:val="fr-FR"/>
        </w:rPr>
      </w:pPr>
      <w:r w:rsidRPr="00B62E11">
        <w:rPr>
          <w:lang w:val="fr-FR"/>
        </w:rPr>
        <w:t>Rend l</w:t>
      </w:r>
      <w:r w:rsidR="00B62E11" w:rsidRPr="00B62E11">
        <w:rPr>
          <w:lang w:val="fr-FR"/>
        </w:rPr>
        <w:t>’</w:t>
      </w:r>
      <w:r w:rsidRPr="00B62E11">
        <w:rPr>
          <w:lang w:val="fr-FR"/>
        </w:rPr>
        <w:t>arrêt que voici, adopté à cette date :</w:t>
      </w:r>
    </w:p>
    <w:p w:rsidR="007B2119" w:rsidRPr="00B62E11" w:rsidRDefault="007B2119" w:rsidP="00B62E11">
      <w:pPr>
        <w:pStyle w:val="ECHRTitle1"/>
        <w:rPr>
          <w:lang w:val="fr-FR"/>
        </w:rPr>
      </w:pPr>
      <w:r w:rsidRPr="00B62E11">
        <w:rPr>
          <w:lang w:val="fr-FR"/>
        </w:rPr>
        <w:t>PROCÉDURE</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1</w:t>
      </w:r>
      <w:r w:rsidRPr="00B62E11">
        <w:rPr>
          <w:lang w:val="fr-FR"/>
        </w:rPr>
        <w:fldChar w:fldCharType="end"/>
      </w:r>
      <w:r w:rsidRPr="00B62E11">
        <w:rPr>
          <w:lang w:val="fr-FR"/>
        </w:rPr>
        <w:t>.  À l</w:t>
      </w:r>
      <w:r w:rsidR="00B62E11" w:rsidRPr="00B62E11">
        <w:rPr>
          <w:lang w:val="fr-FR"/>
        </w:rPr>
        <w:t>’</w:t>
      </w:r>
      <w:r w:rsidRPr="00B62E11">
        <w:rPr>
          <w:lang w:val="fr-FR"/>
        </w:rPr>
        <w:t>origine de l</w:t>
      </w:r>
      <w:r w:rsidR="00B62E11" w:rsidRPr="00B62E11">
        <w:rPr>
          <w:lang w:val="fr-FR"/>
        </w:rPr>
        <w:t>’</w:t>
      </w:r>
      <w:r w:rsidRPr="00B62E11">
        <w:rPr>
          <w:lang w:val="fr-FR"/>
        </w:rPr>
        <w:t>affaire se trouve une requête (n</w:t>
      </w:r>
      <w:r w:rsidRPr="00B62E11">
        <w:rPr>
          <w:vertAlign w:val="superscript"/>
          <w:lang w:val="fr-FR"/>
        </w:rPr>
        <w:t>o</w:t>
      </w:r>
      <w:r w:rsidRPr="00B62E11">
        <w:rPr>
          <w:lang w:val="fr-FR"/>
        </w:rPr>
        <w:t xml:space="preserve"> 28976/05) dirigée contre la République italienne et dont un ressortissant de cet État, M.</w:t>
      </w:r>
      <w:r w:rsidR="006D2C0F" w:rsidRPr="00B62E11">
        <w:rPr>
          <w:lang w:val="fr-FR"/>
        </w:rPr>
        <w:t> </w:t>
      </w:r>
      <w:r w:rsidRPr="00B62E11">
        <w:rPr>
          <w:lang w:val="fr-FR"/>
        </w:rPr>
        <w:t>Guido</w:t>
      </w:r>
      <w:r w:rsidR="006D2C0F" w:rsidRPr="00B62E11">
        <w:rPr>
          <w:lang w:val="fr-FR"/>
        </w:rPr>
        <w:t> </w:t>
      </w:r>
      <w:r w:rsidRPr="00B62E11">
        <w:rPr>
          <w:lang w:val="fr-FR"/>
        </w:rPr>
        <w:t>Preite (« le requérant »), avait saisi la Cour le 26 juillet 2005 en vertu de l</w:t>
      </w:r>
      <w:r w:rsidR="00B62E11" w:rsidRPr="00B62E11">
        <w:rPr>
          <w:lang w:val="fr-FR"/>
        </w:rPr>
        <w:t>’</w:t>
      </w:r>
      <w:r w:rsidRPr="00B62E11">
        <w:rPr>
          <w:lang w:val="fr-FR"/>
        </w:rPr>
        <w:t>article 34 de la Convention de sauvegarde des droits de l</w:t>
      </w:r>
      <w:r w:rsidR="00B62E11" w:rsidRPr="00B62E11">
        <w:rPr>
          <w:lang w:val="fr-FR"/>
        </w:rPr>
        <w:t>’</w:t>
      </w:r>
      <w:r w:rsidRPr="00B62E11">
        <w:rPr>
          <w:lang w:val="fr-FR"/>
        </w:rPr>
        <w:t>homme et des libertés fondamentales (« la Convention »).</w:t>
      </w:r>
    </w:p>
    <w:p w:rsidR="00B62E11" w:rsidRPr="00B62E11" w:rsidRDefault="007B2119" w:rsidP="00B62E11">
      <w:pPr>
        <w:pStyle w:val="ECHRPara"/>
        <w:rPr>
          <w:lang w:val="fr-FR"/>
        </w:rPr>
      </w:pPr>
      <w:r w:rsidRPr="00B62E11">
        <w:rPr>
          <w:lang w:val="fr-FR"/>
        </w:rPr>
        <w:t>Le requérant étant décédé 1</w:t>
      </w:r>
      <w:r w:rsidRPr="00B62E11">
        <w:rPr>
          <w:vertAlign w:val="superscript"/>
          <w:lang w:val="fr-FR"/>
        </w:rPr>
        <w:t>er</w:t>
      </w:r>
      <w:r w:rsidRPr="00B62E11">
        <w:rPr>
          <w:lang w:val="fr-FR"/>
        </w:rPr>
        <w:t xml:space="preserve"> janvier 2012, ses quatre héritiers – son épouse M</w:t>
      </w:r>
      <w:r w:rsidRPr="00B62E11">
        <w:rPr>
          <w:vertAlign w:val="superscript"/>
          <w:lang w:val="fr-FR"/>
        </w:rPr>
        <w:t>me</w:t>
      </w:r>
      <w:r w:rsidRPr="00B62E11">
        <w:rPr>
          <w:lang w:val="fr-FR"/>
        </w:rPr>
        <w:t xml:space="preserve"> Anna Conte et les trois enfants du couple Vito, Paolo et Anna Preite – ont exprimé le souhait de continuer la procédure devant la Cour. M</w:t>
      </w:r>
      <w:r w:rsidRPr="00B62E11">
        <w:rPr>
          <w:vertAlign w:val="superscript"/>
          <w:lang w:val="fr-FR"/>
        </w:rPr>
        <w:t>me</w:t>
      </w:r>
      <w:r w:rsidRPr="00B62E11">
        <w:rPr>
          <w:lang w:val="fr-FR"/>
        </w:rPr>
        <w:t xml:space="preserve"> Anna Conte étant décédée le 17 août 2013, les trois autres requérants ont informé le Greffe de ce qu</w:t>
      </w:r>
      <w:r w:rsidR="00B62E11" w:rsidRPr="00B62E11">
        <w:rPr>
          <w:lang w:val="fr-FR"/>
        </w:rPr>
        <w:t>’</w:t>
      </w:r>
      <w:r w:rsidRPr="00B62E11">
        <w:rPr>
          <w:lang w:val="fr-FR"/>
        </w:rPr>
        <w:t>ils avaient hérité de celle-ci. Pour des raisons d</w:t>
      </w:r>
      <w:r w:rsidR="00B62E11" w:rsidRPr="00B62E11">
        <w:rPr>
          <w:lang w:val="fr-FR"/>
        </w:rPr>
        <w:t>’</w:t>
      </w:r>
      <w:r w:rsidRPr="00B62E11">
        <w:rPr>
          <w:lang w:val="fr-FR"/>
        </w:rPr>
        <w:t>ordre pratique, le présent arrêt continuera d</w:t>
      </w:r>
      <w:r w:rsidR="00B62E11" w:rsidRPr="00B62E11">
        <w:rPr>
          <w:lang w:val="fr-FR"/>
        </w:rPr>
        <w:t>’</w:t>
      </w:r>
      <w:r w:rsidRPr="00B62E11">
        <w:rPr>
          <w:lang w:val="fr-FR"/>
        </w:rPr>
        <w:t>appeler M. Guido Preite « le requérant » bien qu</w:t>
      </w:r>
      <w:r w:rsidR="00B62E11" w:rsidRPr="00B62E11">
        <w:rPr>
          <w:lang w:val="fr-FR"/>
        </w:rPr>
        <w:t>’</w:t>
      </w:r>
      <w:r w:rsidRPr="00B62E11">
        <w:rPr>
          <w:lang w:val="fr-FR"/>
        </w:rPr>
        <w:t>il faille aujourd</w:t>
      </w:r>
      <w:r w:rsidR="00B62E11" w:rsidRPr="00B62E11">
        <w:rPr>
          <w:lang w:val="fr-FR"/>
        </w:rPr>
        <w:t>’</w:t>
      </w:r>
      <w:r w:rsidRPr="00B62E11">
        <w:rPr>
          <w:lang w:val="fr-FR"/>
        </w:rPr>
        <w:t>hui attribuer cette qualité à ses trois</w:t>
      </w:r>
      <w:r w:rsidR="006D2C0F" w:rsidRPr="00B62E11">
        <w:rPr>
          <w:lang w:val="fr-FR"/>
        </w:rPr>
        <w:t> </w:t>
      </w:r>
      <w:r w:rsidRPr="00B62E11">
        <w:rPr>
          <w:lang w:val="fr-FR"/>
        </w:rPr>
        <w:t>héritiers.</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2</w:t>
      </w:r>
      <w:r w:rsidRPr="00B62E11">
        <w:rPr>
          <w:lang w:val="fr-FR"/>
        </w:rPr>
        <w:fldChar w:fldCharType="end"/>
      </w:r>
      <w:r w:rsidRPr="00B62E11">
        <w:rPr>
          <w:lang w:val="fr-FR"/>
        </w:rPr>
        <w:t>.  Le requérant a été représenté par M</w:t>
      </w:r>
      <w:r w:rsidRPr="00B62E11">
        <w:rPr>
          <w:vertAlign w:val="superscript"/>
          <w:lang w:val="fr-FR"/>
        </w:rPr>
        <w:t>e</w:t>
      </w:r>
      <w:r w:rsidRPr="00B62E11">
        <w:rPr>
          <w:lang w:val="fr-FR"/>
        </w:rPr>
        <w:t> C. Ventura, avocat à Bari. Le gouvernement italien (« le Gouvernement ») a été représenté par son agent, M</w:t>
      </w:r>
      <w:r w:rsidRPr="00B62E11">
        <w:rPr>
          <w:vertAlign w:val="superscript"/>
          <w:lang w:val="fr-FR"/>
        </w:rPr>
        <w:t>me</w:t>
      </w:r>
      <w:r w:rsidRPr="00B62E11">
        <w:rPr>
          <w:lang w:val="fr-FR"/>
        </w:rPr>
        <w:t xml:space="preserve"> E. Spatafora, par son ancien coagent adjoint, M. N. Lettieri et par sa coagente, M</w:t>
      </w:r>
      <w:r w:rsidRPr="00B62E11">
        <w:rPr>
          <w:vertAlign w:val="superscript"/>
          <w:lang w:val="fr-FR"/>
        </w:rPr>
        <w:t>me</w:t>
      </w:r>
      <w:r w:rsidRPr="00B62E11">
        <w:rPr>
          <w:lang w:val="fr-FR"/>
        </w:rPr>
        <w:t xml:space="preserve"> P. Accardo.</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3</w:t>
      </w:r>
      <w:r w:rsidRPr="00B62E11">
        <w:rPr>
          <w:lang w:val="fr-FR"/>
        </w:rPr>
        <w:fldChar w:fldCharType="end"/>
      </w:r>
      <w:r w:rsidRPr="00B62E11">
        <w:rPr>
          <w:lang w:val="fr-FR"/>
        </w:rPr>
        <w:t>.  Le requérant allègue sous l</w:t>
      </w:r>
      <w:r w:rsidR="00B62E11" w:rsidRPr="00B62E11">
        <w:rPr>
          <w:lang w:val="fr-FR"/>
        </w:rPr>
        <w:t>’</w:t>
      </w:r>
      <w:r w:rsidRPr="00B62E11">
        <w:rPr>
          <w:lang w:val="fr-FR"/>
        </w:rPr>
        <w:t>angle de l</w:t>
      </w:r>
      <w:r w:rsidR="00B62E11" w:rsidRPr="00B62E11">
        <w:rPr>
          <w:lang w:val="fr-FR"/>
        </w:rPr>
        <w:t>’</w:t>
      </w:r>
      <w:r w:rsidRPr="00B62E11">
        <w:rPr>
          <w:lang w:val="fr-FR"/>
        </w:rPr>
        <w:t>article 1 du Protocole n</w:t>
      </w:r>
      <w:r w:rsidR="003656CF" w:rsidRPr="00B62E11">
        <w:rPr>
          <w:vertAlign w:val="superscript"/>
          <w:lang w:val="fr-FR"/>
        </w:rPr>
        <w:t>o</w:t>
      </w:r>
      <w:r w:rsidRPr="00B62E11">
        <w:rPr>
          <w:lang w:val="fr-FR"/>
        </w:rPr>
        <w:t xml:space="preserve"> 1 et de l</w:t>
      </w:r>
      <w:r w:rsidR="00B62E11" w:rsidRPr="00B62E11">
        <w:rPr>
          <w:lang w:val="fr-FR"/>
        </w:rPr>
        <w:t>’</w:t>
      </w:r>
      <w:r w:rsidRPr="00B62E11">
        <w:rPr>
          <w:lang w:val="fr-FR"/>
        </w:rPr>
        <w:t>article 6 de la Convention une atteinte injustifiée à son droit au respect de ses biens et la violation de son droit à un procès équitable.</w:t>
      </w:r>
    </w:p>
    <w:p w:rsidR="00B62E11"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4</w:t>
      </w:r>
      <w:r w:rsidRPr="00B62E11">
        <w:rPr>
          <w:lang w:val="fr-FR"/>
        </w:rPr>
        <w:fldChar w:fldCharType="end"/>
      </w:r>
      <w:r w:rsidRPr="00B62E11">
        <w:rPr>
          <w:lang w:val="fr-FR"/>
        </w:rPr>
        <w:t>.  Le 25 avril 2008, la requête a été communiquée au Gouvernement.</w:t>
      </w:r>
    </w:p>
    <w:p w:rsidR="007B2119" w:rsidRPr="00B62E11" w:rsidRDefault="007B2119" w:rsidP="00B62E11">
      <w:pPr>
        <w:pStyle w:val="ECHRTitle1"/>
        <w:tabs>
          <w:tab w:val="left" w:pos="5387"/>
        </w:tabs>
        <w:rPr>
          <w:lang w:val="fr-FR"/>
        </w:rPr>
      </w:pPr>
      <w:r w:rsidRPr="00B62E11">
        <w:rPr>
          <w:lang w:val="fr-FR"/>
        </w:rPr>
        <w:lastRenderedPageBreak/>
        <w:t>EN FAIT</w:t>
      </w:r>
    </w:p>
    <w:p w:rsidR="007B2119" w:rsidRPr="00B62E11" w:rsidRDefault="007B2119" w:rsidP="00B62E11">
      <w:pPr>
        <w:pStyle w:val="ECHRHeading1"/>
        <w:rPr>
          <w:lang w:val="fr-FR"/>
        </w:rPr>
      </w:pPr>
      <w:r w:rsidRPr="00B62E11">
        <w:rPr>
          <w:lang w:val="fr-FR"/>
        </w:rPr>
        <w:t>I.  LES CIRCONSTANCES DE L</w:t>
      </w:r>
      <w:r w:rsidR="00B62E11" w:rsidRPr="00B62E11">
        <w:rPr>
          <w:lang w:val="fr-FR"/>
        </w:rPr>
        <w:t>’</w:t>
      </w:r>
      <w:r w:rsidRPr="00B62E11">
        <w:rPr>
          <w:lang w:val="fr-FR"/>
        </w:rPr>
        <w:t>ESPÈCE</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5</w:t>
      </w:r>
      <w:r w:rsidRPr="00B62E11">
        <w:rPr>
          <w:lang w:val="fr-FR"/>
        </w:rPr>
        <w:fldChar w:fldCharType="end"/>
      </w:r>
      <w:r w:rsidRPr="00B62E11">
        <w:rPr>
          <w:lang w:val="fr-FR"/>
        </w:rPr>
        <w:t>.  Le requérant était propriétaire d</w:t>
      </w:r>
      <w:r w:rsidR="00B62E11" w:rsidRPr="00B62E11">
        <w:rPr>
          <w:lang w:val="fr-FR"/>
        </w:rPr>
        <w:t>’</w:t>
      </w:r>
      <w:r w:rsidRPr="00B62E11">
        <w:rPr>
          <w:lang w:val="fr-FR"/>
        </w:rPr>
        <w:t>un terrain sis à Taurisano (dans la région des Pouilles), classé par le plan d</w:t>
      </w:r>
      <w:r w:rsidR="00B62E11" w:rsidRPr="00B62E11">
        <w:rPr>
          <w:lang w:val="fr-FR"/>
        </w:rPr>
        <w:t>’</w:t>
      </w:r>
      <w:r w:rsidRPr="00B62E11">
        <w:rPr>
          <w:lang w:val="fr-FR"/>
        </w:rPr>
        <w:t>urbanisme communal de 1973 comme faisant partie de la « zone agricole spéciale E3 ».</w:t>
      </w:r>
    </w:p>
    <w:p w:rsidR="007B2119" w:rsidRPr="00B62E11" w:rsidRDefault="007B2119" w:rsidP="00B62E11">
      <w:pPr>
        <w:pStyle w:val="ECHRPara"/>
        <w:rPr>
          <w:lang w:val="fr-FR"/>
        </w:rPr>
      </w:pPr>
      <w:r w:rsidRPr="00B62E11">
        <w:rPr>
          <w:lang w:val="fr-FR"/>
        </w:rPr>
        <w:t>Le 18 avril 1989, le terrain fut occupé par l</w:t>
      </w:r>
      <w:r w:rsidR="00B62E11" w:rsidRPr="00B62E11">
        <w:rPr>
          <w:lang w:val="fr-FR"/>
        </w:rPr>
        <w:t>’</w:t>
      </w:r>
      <w:r w:rsidRPr="00B62E11">
        <w:rPr>
          <w:lang w:val="fr-FR"/>
        </w:rPr>
        <w:t>administration publique, qui avait décidé d</w:t>
      </w:r>
      <w:r w:rsidR="00B62E11" w:rsidRPr="00B62E11">
        <w:rPr>
          <w:lang w:val="fr-FR"/>
        </w:rPr>
        <w:t>’</w:t>
      </w:r>
      <w:r w:rsidRPr="00B62E11">
        <w:rPr>
          <w:lang w:val="fr-FR"/>
        </w:rPr>
        <w:t>y construire un marché couvert et une place. Par un arrêté du 5 mai 1992, 8 586 mètres carrés furent expropriés.</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6</w:t>
      </w:r>
      <w:r w:rsidRPr="00B62E11">
        <w:rPr>
          <w:lang w:val="fr-FR"/>
        </w:rPr>
        <w:fldChar w:fldCharType="end"/>
      </w:r>
      <w:r w:rsidRPr="00B62E11">
        <w:rPr>
          <w:lang w:val="fr-FR"/>
        </w:rPr>
        <w:t>.  Le projet de construction du marché concernait également le terrain voisin, appartenant à M. Osvaldo Preite, qui fut également exproprié.</w:t>
      </w:r>
    </w:p>
    <w:p w:rsidR="00B62E11"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7</w:t>
      </w:r>
      <w:r w:rsidRPr="00B62E11">
        <w:rPr>
          <w:lang w:val="fr-FR"/>
        </w:rPr>
        <w:fldChar w:fldCharType="end"/>
      </w:r>
      <w:r w:rsidRPr="00B62E11">
        <w:rPr>
          <w:lang w:val="fr-FR"/>
        </w:rPr>
        <w:t>.  Le 25 mars 1992, le requérant assigna la municipalité de Taurisano devant la cour d</w:t>
      </w:r>
      <w:r w:rsidR="00B62E11" w:rsidRPr="00B62E11">
        <w:rPr>
          <w:lang w:val="fr-FR"/>
        </w:rPr>
        <w:t>’</w:t>
      </w:r>
      <w:r w:rsidRPr="00B62E11">
        <w:rPr>
          <w:lang w:val="fr-FR"/>
        </w:rPr>
        <w:t>appel de Lecce en vue de l</w:t>
      </w:r>
      <w:r w:rsidR="00B62E11" w:rsidRPr="00B62E11">
        <w:rPr>
          <w:lang w:val="fr-FR"/>
        </w:rPr>
        <w:t>’</w:t>
      </w:r>
      <w:r w:rsidRPr="00B62E11">
        <w:rPr>
          <w:lang w:val="fr-FR"/>
        </w:rPr>
        <w:t>obtention d</w:t>
      </w:r>
      <w:r w:rsidR="00B62E11" w:rsidRPr="00B62E11">
        <w:rPr>
          <w:lang w:val="fr-FR"/>
        </w:rPr>
        <w:t>’</w:t>
      </w:r>
      <w:r w:rsidRPr="00B62E11">
        <w:rPr>
          <w:lang w:val="fr-FR"/>
        </w:rPr>
        <w:t>une indemnité d</w:t>
      </w:r>
      <w:r w:rsidR="00B62E11" w:rsidRPr="00B62E11">
        <w:rPr>
          <w:lang w:val="fr-FR"/>
        </w:rPr>
        <w:t>’</w:t>
      </w:r>
      <w:r w:rsidRPr="00B62E11">
        <w:rPr>
          <w:lang w:val="fr-FR"/>
        </w:rPr>
        <w:t>expropriation adéquate, correspondant à la valeur marchande du terrain, au sens de la loi n</w:t>
      </w:r>
      <w:r w:rsidR="003656CF" w:rsidRPr="00B62E11">
        <w:rPr>
          <w:vertAlign w:val="superscript"/>
          <w:lang w:val="fr-FR"/>
        </w:rPr>
        <w:t>o</w:t>
      </w:r>
      <w:r w:rsidRPr="00B62E11">
        <w:rPr>
          <w:lang w:val="fr-FR"/>
        </w:rPr>
        <w:t> 2359/1865. La municipalité était représentée par le commissaire chargé de la gestion financière de la ville, à la suite de la déclaration de faillite (</w:t>
      </w:r>
      <w:r w:rsidRPr="00B62E11">
        <w:rPr>
          <w:i/>
          <w:lang w:val="fr-FR"/>
        </w:rPr>
        <w:t>dissesto</w:t>
      </w:r>
      <w:r w:rsidRPr="00B62E11">
        <w:rPr>
          <w:lang w:val="fr-FR"/>
        </w:rPr>
        <w:t>) de celle-ci.</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8</w:t>
      </w:r>
      <w:r w:rsidRPr="00B62E11">
        <w:rPr>
          <w:lang w:val="fr-FR"/>
        </w:rPr>
        <w:fldChar w:fldCharType="end"/>
      </w:r>
      <w:r w:rsidRPr="00B62E11">
        <w:rPr>
          <w:lang w:val="fr-FR"/>
        </w:rPr>
        <w:t>.  Le 14 août 1992 entra en vigueur la loi n</w:t>
      </w:r>
      <w:r w:rsidR="003656CF" w:rsidRPr="00B62E11">
        <w:rPr>
          <w:vertAlign w:val="superscript"/>
          <w:lang w:val="fr-FR"/>
        </w:rPr>
        <w:t>o</w:t>
      </w:r>
      <w:r w:rsidRPr="00B62E11">
        <w:rPr>
          <w:lang w:val="fr-FR"/>
        </w:rPr>
        <w:t xml:space="preserve"> 359 du 8 août 1992 (intitulée «</w:t>
      </w:r>
      <w:r w:rsidR="006D2C0F" w:rsidRPr="00B62E11">
        <w:rPr>
          <w:lang w:val="fr-FR"/>
        </w:rPr>
        <w:t> </w:t>
      </w:r>
      <w:r w:rsidRPr="00B62E11">
        <w:rPr>
          <w:lang w:val="fr-FR"/>
        </w:rPr>
        <w:t>Mesures urgentes en vue d</w:t>
      </w:r>
      <w:r w:rsidR="00B62E11" w:rsidRPr="00B62E11">
        <w:rPr>
          <w:lang w:val="fr-FR"/>
        </w:rPr>
        <w:t>’</w:t>
      </w:r>
      <w:r w:rsidRPr="00B62E11">
        <w:rPr>
          <w:lang w:val="fr-FR"/>
        </w:rPr>
        <w:t>améliorer l</w:t>
      </w:r>
      <w:r w:rsidR="00B62E11" w:rsidRPr="00B62E11">
        <w:rPr>
          <w:lang w:val="fr-FR"/>
        </w:rPr>
        <w:t>’</w:t>
      </w:r>
      <w:r w:rsidRPr="00B62E11">
        <w:rPr>
          <w:lang w:val="fr-FR"/>
        </w:rPr>
        <w:t>état des finances publiques</w:t>
      </w:r>
      <w:r w:rsidR="006D2C0F" w:rsidRPr="00B62E11">
        <w:rPr>
          <w:lang w:val="fr-FR"/>
        </w:rPr>
        <w:t> </w:t>
      </w:r>
      <w:r w:rsidRPr="00B62E11">
        <w:rPr>
          <w:lang w:val="fr-FR"/>
        </w:rPr>
        <w:t>»), qui prévoyait dans son article 5</w:t>
      </w:r>
      <w:r w:rsidRPr="00B62E11">
        <w:rPr>
          <w:i/>
          <w:lang w:val="fr-FR"/>
        </w:rPr>
        <w:t>bis</w:t>
      </w:r>
      <w:r w:rsidRPr="00B62E11">
        <w:rPr>
          <w:lang w:val="fr-FR"/>
        </w:rPr>
        <w:t xml:space="preserve"> de nouveaux critères pour calculer l</w:t>
      </w:r>
      <w:r w:rsidR="00B62E11" w:rsidRPr="00B62E11">
        <w:rPr>
          <w:lang w:val="fr-FR"/>
        </w:rPr>
        <w:t>’</w:t>
      </w:r>
      <w:r w:rsidRPr="00B62E11">
        <w:rPr>
          <w:lang w:val="fr-FR"/>
        </w:rPr>
        <w:t>indemnité d</w:t>
      </w:r>
      <w:r w:rsidR="00B62E11" w:rsidRPr="00B62E11">
        <w:rPr>
          <w:lang w:val="fr-FR"/>
        </w:rPr>
        <w:t>’</w:t>
      </w:r>
      <w:r w:rsidRPr="00B62E11">
        <w:rPr>
          <w:lang w:val="fr-FR"/>
        </w:rPr>
        <w:t>expropriation des terrains. Cette loi s</w:t>
      </w:r>
      <w:r w:rsidR="00B62E11" w:rsidRPr="00B62E11">
        <w:rPr>
          <w:lang w:val="fr-FR"/>
        </w:rPr>
        <w:t>’</w:t>
      </w:r>
      <w:r w:rsidRPr="00B62E11">
        <w:rPr>
          <w:lang w:val="fr-FR"/>
        </w:rPr>
        <w:t>appliquait expressément aux procédures en cours et disposait que pour déterminer si un terrain était constructible, il fallait prendre en compte les possibilités légales et effectives d</w:t>
      </w:r>
      <w:r w:rsidR="00B62E11" w:rsidRPr="00B62E11">
        <w:rPr>
          <w:lang w:val="fr-FR"/>
        </w:rPr>
        <w:t>’</w:t>
      </w:r>
      <w:r w:rsidRPr="00B62E11">
        <w:rPr>
          <w:lang w:val="fr-FR"/>
        </w:rPr>
        <w:t>édifier (voir droit interne pertinent).</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9</w:t>
      </w:r>
      <w:r w:rsidRPr="00B62E11">
        <w:rPr>
          <w:lang w:val="fr-FR"/>
        </w:rPr>
        <w:fldChar w:fldCharType="end"/>
      </w:r>
      <w:r w:rsidRPr="00B62E11">
        <w:rPr>
          <w:lang w:val="fr-FR"/>
        </w:rPr>
        <w:t>.  Au cours de la procédure, la cour d</w:t>
      </w:r>
      <w:r w:rsidR="00B62E11" w:rsidRPr="00B62E11">
        <w:rPr>
          <w:lang w:val="fr-FR"/>
        </w:rPr>
        <w:t>’</w:t>
      </w:r>
      <w:r w:rsidRPr="00B62E11">
        <w:rPr>
          <w:lang w:val="fr-FR"/>
        </w:rPr>
        <w:t>appel de Lecce chargea un expert d</w:t>
      </w:r>
      <w:r w:rsidR="00B62E11" w:rsidRPr="00B62E11">
        <w:rPr>
          <w:lang w:val="fr-FR"/>
        </w:rPr>
        <w:t>’</w:t>
      </w:r>
      <w:r w:rsidRPr="00B62E11">
        <w:rPr>
          <w:lang w:val="fr-FR"/>
        </w:rPr>
        <w:t>évaluer le terrain. Selon cet expert, le terrain du requérant était constructible, de par sa situation et sa vocation à être édifié (</w:t>
      </w:r>
      <w:r w:rsidRPr="00B62E11">
        <w:rPr>
          <w:i/>
          <w:lang w:val="fr-FR"/>
        </w:rPr>
        <w:t>vocazione edificatoria</w:t>
      </w:r>
      <w:r w:rsidRPr="00B62E11">
        <w:rPr>
          <w:lang w:val="fr-FR"/>
        </w:rPr>
        <w:t>) même si le plan d</w:t>
      </w:r>
      <w:r w:rsidR="00B62E11" w:rsidRPr="00B62E11">
        <w:rPr>
          <w:lang w:val="fr-FR"/>
        </w:rPr>
        <w:t>’</w:t>
      </w:r>
      <w:r w:rsidRPr="00B62E11">
        <w:rPr>
          <w:lang w:val="fr-FR"/>
        </w:rPr>
        <w:t>urbanisme en vigueur depuis 1973 l</w:t>
      </w:r>
      <w:r w:rsidR="00B62E11" w:rsidRPr="00B62E11">
        <w:rPr>
          <w:lang w:val="fr-FR"/>
        </w:rPr>
        <w:t>’</w:t>
      </w:r>
      <w:r w:rsidRPr="00B62E11">
        <w:rPr>
          <w:lang w:val="fr-FR"/>
        </w:rPr>
        <w:t>avait classé comme agricole. Sa valeur par mètre carré était, au moment de son occupation, de 65 000 lires italiennes (</w:t>
      </w:r>
      <w:r w:rsidR="006D2C0F" w:rsidRPr="00B62E11">
        <w:rPr>
          <w:lang w:val="fr-FR"/>
        </w:rPr>
        <w:t xml:space="preserve">ITL ; </w:t>
      </w:r>
      <w:r w:rsidRPr="00B62E11">
        <w:rPr>
          <w:lang w:val="fr-FR"/>
        </w:rPr>
        <w:t xml:space="preserve">33,57 </w:t>
      </w:r>
      <w:r w:rsidR="006D2C0F" w:rsidRPr="00B62E11">
        <w:rPr>
          <w:lang w:val="fr-FR"/>
        </w:rPr>
        <w:t>euros (</w:t>
      </w:r>
      <w:r w:rsidRPr="00B62E11">
        <w:rPr>
          <w:lang w:val="fr-FR"/>
        </w:rPr>
        <w:t>EUR</w:t>
      </w:r>
      <w:r w:rsidR="006D2C0F" w:rsidRPr="00B62E11">
        <w:rPr>
          <w:lang w:val="fr-FR"/>
        </w:rPr>
        <w:t>)</w:t>
      </w:r>
      <w:r w:rsidRPr="00B62E11">
        <w:rPr>
          <w:lang w:val="fr-FR"/>
        </w:rPr>
        <w:t>).</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10</w:t>
      </w:r>
      <w:r w:rsidRPr="00B62E11">
        <w:rPr>
          <w:lang w:val="fr-FR"/>
        </w:rPr>
        <w:fldChar w:fldCharType="end"/>
      </w:r>
      <w:r w:rsidRPr="00B62E11">
        <w:rPr>
          <w:lang w:val="fr-FR"/>
        </w:rPr>
        <w:t>.  Par la suite, la cour d</w:t>
      </w:r>
      <w:r w:rsidR="00B62E11" w:rsidRPr="00B62E11">
        <w:rPr>
          <w:lang w:val="fr-FR"/>
        </w:rPr>
        <w:t>’</w:t>
      </w:r>
      <w:r w:rsidRPr="00B62E11">
        <w:rPr>
          <w:lang w:val="fr-FR"/>
        </w:rPr>
        <w:t>appel chargea un deuxième expert, qui estima qu</w:t>
      </w:r>
      <w:r w:rsidR="00B62E11" w:rsidRPr="00B62E11">
        <w:rPr>
          <w:lang w:val="fr-FR"/>
        </w:rPr>
        <w:t>’</w:t>
      </w:r>
      <w:r w:rsidRPr="00B62E11">
        <w:rPr>
          <w:lang w:val="fr-FR"/>
        </w:rPr>
        <w:t>au moment de l</w:t>
      </w:r>
      <w:r w:rsidR="00B62E11" w:rsidRPr="00B62E11">
        <w:rPr>
          <w:lang w:val="fr-FR"/>
        </w:rPr>
        <w:t>’</w:t>
      </w:r>
      <w:r w:rsidRPr="00B62E11">
        <w:rPr>
          <w:lang w:val="fr-FR"/>
        </w:rPr>
        <w:t>occupation, le terrain en question valait 51</w:t>
      </w:r>
      <w:r w:rsidR="006D2C0F" w:rsidRPr="00B62E11">
        <w:rPr>
          <w:lang w:val="fr-FR"/>
        </w:rPr>
        <w:t> </w:t>
      </w:r>
      <w:r w:rsidRPr="00B62E11">
        <w:rPr>
          <w:lang w:val="fr-FR"/>
        </w:rPr>
        <w:t>7</w:t>
      </w:r>
      <w:r w:rsidR="006D2C0F" w:rsidRPr="00B62E11">
        <w:rPr>
          <w:lang w:val="fr-FR"/>
        </w:rPr>
        <w:t>00 ITL</w:t>
      </w:r>
      <w:r w:rsidRPr="00B62E11">
        <w:rPr>
          <w:lang w:val="fr-FR"/>
        </w:rPr>
        <w:t xml:space="preserve"> (26,70 EUR) par mètre carré.</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11</w:t>
      </w:r>
      <w:r w:rsidRPr="00B62E11">
        <w:rPr>
          <w:lang w:val="fr-FR"/>
        </w:rPr>
        <w:fldChar w:fldCharType="end"/>
      </w:r>
      <w:r w:rsidRPr="00B62E11">
        <w:rPr>
          <w:lang w:val="fr-FR"/>
        </w:rPr>
        <w:t>.  L</w:t>
      </w:r>
      <w:r w:rsidR="00B62E11" w:rsidRPr="00B62E11">
        <w:rPr>
          <w:lang w:val="fr-FR"/>
        </w:rPr>
        <w:t>’</w:t>
      </w:r>
      <w:r w:rsidRPr="00B62E11">
        <w:rPr>
          <w:lang w:val="fr-FR"/>
        </w:rPr>
        <w:t>administration défenderesse argua que les deux expertises ci-dessus devaient être écartées, car elles ne répondaient pas aux critères établis par l</w:t>
      </w:r>
      <w:r w:rsidR="00B62E11" w:rsidRPr="00B62E11">
        <w:rPr>
          <w:lang w:val="fr-FR"/>
        </w:rPr>
        <w:t>’</w:t>
      </w:r>
      <w:r w:rsidRPr="00B62E11">
        <w:rPr>
          <w:lang w:val="fr-FR"/>
        </w:rPr>
        <w:t>article 5</w:t>
      </w:r>
      <w:r w:rsidRPr="00B62E11">
        <w:rPr>
          <w:i/>
          <w:lang w:val="fr-FR"/>
        </w:rPr>
        <w:t>bis</w:t>
      </w:r>
      <w:r w:rsidRPr="00B62E11">
        <w:rPr>
          <w:lang w:val="fr-FR"/>
        </w:rPr>
        <w:t xml:space="preserve"> de la loi n</w:t>
      </w:r>
      <w:r w:rsidR="003656CF" w:rsidRPr="00B62E11">
        <w:rPr>
          <w:vertAlign w:val="superscript"/>
          <w:lang w:val="fr-FR"/>
        </w:rPr>
        <w:t>o</w:t>
      </w:r>
      <w:r w:rsidRPr="00B62E11">
        <w:rPr>
          <w:lang w:val="fr-FR"/>
        </w:rPr>
        <w:t xml:space="preserve"> </w:t>
      </w:r>
      <w:r w:rsidR="00F05F90" w:rsidRPr="00B62E11">
        <w:rPr>
          <w:lang w:val="fr-FR"/>
        </w:rPr>
        <w:t>3</w:t>
      </w:r>
      <w:r w:rsidRPr="00B62E11">
        <w:rPr>
          <w:lang w:val="fr-FR"/>
        </w:rPr>
        <w:t>59 du 8 août 1992 quant à l</w:t>
      </w:r>
      <w:r w:rsidR="00B62E11" w:rsidRPr="00B62E11">
        <w:rPr>
          <w:lang w:val="fr-FR"/>
        </w:rPr>
        <w:t>’</w:t>
      </w:r>
      <w:r w:rsidRPr="00B62E11">
        <w:rPr>
          <w:lang w:val="fr-FR"/>
        </w:rPr>
        <w:t>évaluation de la nature d</w:t>
      </w:r>
      <w:r w:rsidR="00B62E11" w:rsidRPr="00B62E11">
        <w:rPr>
          <w:lang w:val="fr-FR"/>
        </w:rPr>
        <w:t>’</w:t>
      </w:r>
      <w:r w:rsidRPr="00B62E11">
        <w:rPr>
          <w:lang w:val="fr-FR"/>
        </w:rPr>
        <w:t>un terrain. La nouvelle loi imposait en effet que seule l</w:t>
      </w:r>
      <w:r w:rsidR="00B62E11" w:rsidRPr="00B62E11">
        <w:rPr>
          <w:lang w:val="fr-FR"/>
        </w:rPr>
        <w:t>’</w:t>
      </w:r>
      <w:r w:rsidRPr="00B62E11">
        <w:rPr>
          <w:lang w:val="fr-FR"/>
        </w:rPr>
        <w:t>indication contenue dans le plan d</w:t>
      </w:r>
      <w:r w:rsidR="00B62E11" w:rsidRPr="00B62E11">
        <w:rPr>
          <w:lang w:val="fr-FR"/>
        </w:rPr>
        <w:t>’</w:t>
      </w:r>
      <w:r w:rsidRPr="00B62E11">
        <w:rPr>
          <w:lang w:val="fr-FR"/>
        </w:rPr>
        <w:t>urbanisme pouvait être utilisée pour apprécier la nature d</w:t>
      </w:r>
      <w:r w:rsidR="00B62E11" w:rsidRPr="00B62E11">
        <w:rPr>
          <w:lang w:val="fr-FR"/>
        </w:rPr>
        <w:t>’</w:t>
      </w:r>
      <w:r w:rsidRPr="00B62E11">
        <w:rPr>
          <w:lang w:val="fr-FR"/>
        </w:rPr>
        <w:t>un terrain. Elle excluait donc qu</w:t>
      </w:r>
      <w:r w:rsidR="00B62E11" w:rsidRPr="00B62E11">
        <w:rPr>
          <w:lang w:val="fr-FR"/>
        </w:rPr>
        <w:t>’</w:t>
      </w:r>
      <w:r w:rsidRPr="00B62E11">
        <w:rPr>
          <w:lang w:val="fr-FR"/>
        </w:rPr>
        <w:t xml:space="preserve">on apprécie </w:t>
      </w:r>
      <w:r w:rsidRPr="00B62E11">
        <w:rPr>
          <w:i/>
          <w:lang w:val="fr-FR"/>
        </w:rPr>
        <w:t>in concreto</w:t>
      </w:r>
      <w:r w:rsidRPr="00B62E11">
        <w:rPr>
          <w:lang w:val="fr-FR"/>
        </w:rPr>
        <w:t xml:space="preserve"> la nature du terrain telle qu</w:t>
      </w:r>
      <w:r w:rsidR="00B62E11" w:rsidRPr="00B62E11">
        <w:rPr>
          <w:lang w:val="fr-FR"/>
        </w:rPr>
        <w:t>’</w:t>
      </w:r>
      <w:r w:rsidRPr="00B62E11">
        <w:rPr>
          <w:lang w:val="fr-FR"/>
        </w:rPr>
        <w:t>elle pourrait ressortir au moment de l</w:t>
      </w:r>
      <w:r w:rsidR="00B62E11" w:rsidRPr="00B62E11">
        <w:rPr>
          <w:lang w:val="fr-FR"/>
        </w:rPr>
        <w:t>’</w:t>
      </w:r>
      <w:r w:rsidRPr="00B62E11">
        <w:rPr>
          <w:lang w:val="fr-FR"/>
        </w:rPr>
        <w:t xml:space="preserve">expertise. </w:t>
      </w:r>
      <w:r w:rsidR="006D2C0F" w:rsidRPr="00B62E11">
        <w:rPr>
          <w:lang w:val="fr-FR"/>
        </w:rPr>
        <w:t>Étant</w:t>
      </w:r>
      <w:r w:rsidRPr="00B62E11">
        <w:rPr>
          <w:lang w:val="fr-FR"/>
        </w:rPr>
        <w:t xml:space="preserve"> donné que le terrain litigieux n</w:t>
      </w:r>
      <w:r w:rsidR="00B62E11" w:rsidRPr="00B62E11">
        <w:rPr>
          <w:lang w:val="fr-FR"/>
        </w:rPr>
        <w:t>’</w:t>
      </w:r>
      <w:r w:rsidRPr="00B62E11">
        <w:rPr>
          <w:lang w:val="fr-FR"/>
        </w:rPr>
        <w:t>était pas classé comme constructible par le plan d</w:t>
      </w:r>
      <w:r w:rsidR="00B62E11" w:rsidRPr="00B62E11">
        <w:rPr>
          <w:lang w:val="fr-FR"/>
        </w:rPr>
        <w:t>’</w:t>
      </w:r>
      <w:r w:rsidRPr="00B62E11">
        <w:rPr>
          <w:lang w:val="fr-FR"/>
        </w:rPr>
        <w:t xml:space="preserve">urbanisme mais comme « agricole spécial », il devait être tenu pour agricole, et être indemnisé à hauteur de 3 500 ITL </w:t>
      </w:r>
      <w:r w:rsidRPr="00B62E11">
        <w:rPr>
          <w:lang w:val="fr-FR"/>
        </w:rPr>
        <w:lastRenderedPageBreak/>
        <w:t>(1,81 EUR) le mètre carré. Cette valeur résultait des critères de calcul pour les terrains agricoles énoncés par la loi n</w:t>
      </w:r>
      <w:r w:rsidR="003656CF" w:rsidRPr="00B62E11">
        <w:rPr>
          <w:vertAlign w:val="superscript"/>
          <w:lang w:val="fr-FR"/>
        </w:rPr>
        <w:t>o</w:t>
      </w:r>
      <w:r w:rsidRPr="00B62E11">
        <w:rPr>
          <w:lang w:val="fr-FR"/>
        </w:rPr>
        <w:t xml:space="preserve"> 865 de 1971. A l</w:t>
      </w:r>
      <w:r w:rsidR="00B62E11" w:rsidRPr="00B62E11">
        <w:rPr>
          <w:lang w:val="fr-FR"/>
        </w:rPr>
        <w:t>’</w:t>
      </w:r>
      <w:r w:rsidRPr="00B62E11">
        <w:rPr>
          <w:lang w:val="fr-FR"/>
        </w:rPr>
        <w:t>appui de ses thèses, l</w:t>
      </w:r>
      <w:r w:rsidR="00B62E11" w:rsidRPr="00B62E11">
        <w:rPr>
          <w:lang w:val="fr-FR"/>
        </w:rPr>
        <w:t>’</w:t>
      </w:r>
      <w:r w:rsidRPr="00B62E11">
        <w:rPr>
          <w:lang w:val="fr-FR"/>
        </w:rPr>
        <w:t>administration se référa à l</w:t>
      </w:r>
      <w:r w:rsidR="00B62E11" w:rsidRPr="00B62E11">
        <w:rPr>
          <w:lang w:val="fr-FR"/>
        </w:rPr>
        <w:t>’</w:t>
      </w:r>
      <w:r w:rsidRPr="00B62E11">
        <w:rPr>
          <w:lang w:val="fr-FR"/>
        </w:rPr>
        <w:t>expertise d</w:t>
      </w:r>
      <w:r w:rsidR="00B62E11" w:rsidRPr="00B62E11">
        <w:rPr>
          <w:lang w:val="fr-FR"/>
        </w:rPr>
        <w:t>’</w:t>
      </w:r>
      <w:r w:rsidRPr="00B62E11">
        <w:rPr>
          <w:lang w:val="fr-FR"/>
        </w:rPr>
        <w:t>office qui avait été faite dans la procédure introduite par le voisin du requérant.</w:t>
      </w:r>
    </w:p>
    <w:p w:rsidR="00B62E11"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12</w:t>
      </w:r>
      <w:r w:rsidRPr="00B62E11">
        <w:rPr>
          <w:lang w:val="fr-FR"/>
        </w:rPr>
        <w:fldChar w:fldCharType="end"/>
      </w:r>
      <w:r w:rsidRPr="00B62E11">
        <w:rPr>
          <w:lang w:val="fr-FR"/>
        </w:rPr>
        <w:t>.  Par un arrêt du 10 juillet 2000, la cour d</w:t>
      </w:r>
      <w:r w:rsidR="00B62E11" w:rsidRPr="00B62E11">
        <w:rPr>
          <w:lang w:val="fr-FR"/>
        </w:rPr>
        <w:t>’</w:t>
      </w:r>
      <w:r w:rsidRPr="00B62E11">
        <w:rPr>
          <w:lang w:val="fr-FR"/>
        </w:rPr>
        <w:t>appel estima qu</w:t>
      </w:r>
      <w:r w:rsidR="00B62E11" w:rsidRPr="00B62E11">
        <w:rPr>
          <w:lang w:val="fr-FR"/>
        </w:rPr>
        <w:t>’</w:t>
      </w:r>
      <w:r w:rsidRPr="00B62E11">
        <w:rPr>
          <w:lang w:val="fr-FR"/>
        </w:rPr>
        <w:t>il y avait lieu d</w:t>
      </w:r>
      <w:r w:rsidR="00B62E11" w:rsidRPr="00B62E11">
        <w:rPr>
          <w:lang w:val="fr-FR"/>
        </w:rPr>
        <w:t>’</w:t>
      </w:r>
      <w:r w:rsidRPr="00B62E11">
        <w:rPr>
          <w:lang w:val="fr-FR"/>
        </w:rPr>
        <w:t>appliquer le raisonnement suivi par l</w:t>
      </w:r>
      <w:r w:rsidR="00B62E11" w:rsidRPr="00B62E11">
        <w:rPr>
          <w:lang w:val="fr-FR"/>
        </w:rPr>
        <w:t>’</w:t>
      </w:r>
      <w:r w:rsidRPr="00B62E11">
        <w:rPr>
          <w:lang w:val="fr-FR"/>
        </w:rPr>
        <w:t>expert nommé dans la procédure concernant le voisin et décida d</w:t>
      </w:r>
      <w:r w:rsidR="00B62E11" w:rsidRPr="00B62E11">
        <w:rPr>
          <w:lang w:val="fr-FR"/>
        </w:rPr>
        <w:t>’</w:t>
      </w:r>
      <w:r w:rsidRPr="00B62E11">
        <w:rPr>
          <w:lang w:val="fr-FR"/>
        </w:rPr>
        <w:t>indemniser le terrain du requérant comme terrain agricole, étant donné que celui-ci n</w:t>
      </w:r>
      <w:r w:rsidR="00B62E11" w:rsidRPr="00B62E11">
        <w:rPr>
          <w:lang w:val="fr-FR"/>
        </w:rPr>
        <w:t>’</w:t>
      </w:r>
      <w:r w:rsidRPr="00B62E11">
        <w:rPr>
          <w:lang w:val="fr-FR"/>
        </w:rPr>
        <w:t>était pas classé comme constructible par le plan d</w:t>
      </w:r>
      <w:r w:rsidR="00B62E11" w:rsidRPr="00B62E11">
        <w:rPr>
          <w:lang w:val="fr-FR"/>
        </w:rPr>
        <w:t>’</w:t>
      </w:r>
      <w:r w:rsidRPr="00B62E11">
        <w:rPr>
          <w:lang w:val="fr-FR"/>
        </w:rPr>
        <w:t>urbanisme. La cour accorda une indemnité d</w:t>
      </w:r>
      <w:r w:rsidR="00B62E11" w:rsidRPr="00B62E11">
        <w:rPr>
          <w:lang w:val="fr-FR"/>
        </w:rPr>
        <w:t>’</w:t>
      </w:r>
      <w:r w:rsidRPr="00B62E11">
        <w:rPr>
          <w:lang w:val="fr-FR"/>
        </w:rPr>
        <w:t>expropriation de 3 500 lires italiennes par mètre carré (1,81 EUR), pour les raisons évoquées ci-dessus, aux termes de l</w:t>
      </w:r>
      <w:r w:rsidR="00B62E11" w:rsidRPr="00B62E11">
        <w:rPr>
          <w:lang w:val="fr-FR"/>
        </w:rPr>
        <w:t>’</w:t>
      </w:r>
      <w:r w:rsidRPr="00B62E11">
        <w:rPr>
          <w:lang w:val="fr-FR"/>
        </w:rPr>
        <w:t>article 5</w:t>
      </w:r>
      <w:r w:rsidRPr="00B62E11">
        <w:rPr>
          <w:i/>
          <w:lang w:val="fr-FR"/>
        </w:rPr>
        <w:t>bis</w:t>
      </w:r>
      <w:r w:rsidR="003656CF" w:rsidRPr="00B62E11">
        <w:rPr>
          <w:lang w:val="fr-FR"/>
        </w:rPr>
        <w:t xml:space="preserve"> de la loi n</w:t>
      </w:r>
      <w:r w:rsidR="003656CF" w:rsidRPr="00B62E11">
        <w:rPr>
          <w:vertAlign w:val="superscript"/>
          <w:lang w:val="fr-FR"/>
        </w:rPr>
        <w:t>o</w:t>
      </w:r>
      <w:r w:rsidRPr="00B62E11">
        <w:rPr>
          <w:lang w:val="fr-FR"/>
        </w:rPr>
        <w:t xml:space="preserve"> 359 de 1992.</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13</w:t>
      </w:r>
      <w:r w:rsidRPr="00B62E11">
        <w:rPr>
          <w:lang w:val="fr-FR"/>
        </w:rPr>
        <w:fldChar w:fldCharType="end"/>
      </w:r>
      <w:r w:rsidRPr="00B62E11">
        <w:rPr>
          <w:lang w:val="fr-FR"/>
        </w:rPr>
        <w:t>.  Le requérant se pourvut en cassation.</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14</w:t>
      </w:r>
      <w:r w:rsidRPr="00B62E11">
        <w:rPr>
          <w:lang w:val="fr-FR"/>
        </w:rPr>
        <w:fldChar w:fldCharType="end"/>
      </w:r>
      <w:r w:rsidRPr="00B62E11">
        <w:rPr>
          <w:lang w:val="fr-FR"/>
        </w:rPr>
        <w:t>.  Par un arrêt du 25 mars 2005, la Cour de cassation rejeta le pourvoi. Elle affirma que l</w:t>
      </w:r>
      <w:r w:rsidR="00B62E11" w:rsidRPr="00B62E11">
        <w:rPr>
          <w:lang w:val="fr-FR"/>
        </w:rPr>
        <w:t>’</w:t>
      </w:r>
      <w:r w:rsidRPr="00B62E11">
        <w:rPr>
          <w:lang w:val="fr-FR"/>
        </w:rPr>
        <w:t>article 5</w:t>
      </w:r>
      <w:r w:rsidRPr="00B62E11">
        <w:rPr>
          <w:i/>
          <w:lang w:val="fr-FR"/>
        </w:rPr>
        <w:t>bis</w:t>
      </w:r>
      <w:r w:rsidR="003656CF" w:rsidRPr="00B62E11">
        <w:rPr>
          <w:lang w:val="fr-FR"/>
        </w:rPr>
        <w:t xml:space="preserve"> de la loi n</w:t>
      </w:r>
      <w:r w:rsidR="003656CF" w:rsidRPr="00B62E11">
        <w:rPr>
          <w:vertAlign w:val="superscript"/>
          <w:lang w:val="fr-FR"/>
        </w:rPr>
        <w:t>o</w:t>
      </w:r>
      <w:r w:rsidRPr="00B62E11">
        <w:rPr>
          <w:lang w:val="fr-FR"/>
        </w:rPr>
        <w:t xml:space="preserve"> 359/1992, à son alinéa 3, prévoyait une distinction </w:t>
      </w:r>
      <w:r w:rsidR="006D2C0F" w:rsidRPr="00B62E11">
        <w:rPr>
          <w:lang w:val="fr-FR"/>
        </w:rPr>
        <w:t xml:space="preserve">rigide </w:t>
      </w:r>
      <w:r w:rsidRPr="00B62E11">
        <w:rPr>
          <w:lang w:val="fr-FR"/>
        </w:rPr>
        <w:t>entre les terrains classés comme constructibles et les autres. Par conséquent, les terrains classés comme agricoles mais non utilisés en agriculture devaient être indemnisé comme s</w:t>
      </w:r>
      <w:r w:rsidR="00B62E11" w:rsidRPr="00B62E11">
        <w:rPr>
          <w:lang w:val="fr-FR"/>
        </w:rPr>
        <w:t>’</w:t>
      </w:r>
      <w:r w:rsidRPr="00B62E11">
        <w:rPr>
          <w:lang w:val="fr-FR"/>
        </w:rPr>
        <w:t>ils étaient exploités à des fins agricoles. Dès lors, aux termes de l</w:t>
      </w:r>
      <w:r w:rsidR="00B62E11" w:rsidRPr="00B62E11">
        <w:rPr>
          <w:lang w:val="fr-FR"/>
        </w:rPr>
        <w:t>’</w:t>
      </w:r>
      <w:r w:rsidRPr="00B62E11">
        <w:rPr>
          <w:lang w:val="fr-FR"/>
        </w:rPr>
        <w:t>alinéa 4 de cette disposition, il y avait lieu d</w:t>
      </w:r>
      <w:r w:rsidR="00B62E11" w:rsidRPr="00B62E11">
        <w:rPr>
          <w:lang w:val="fr-FR"/>
        </w:rPr>
        <w:t>’</w:t>
      </w:r>
      <w:r w:rsidRPr="00B62E11">
        <w:rPr>
          <w:lang w:val="fr-FR"/>
        </w:rPr>
        <w:t>accorder un montant correspondant au rendement agricole moyen des terres agricoles de la région.</w:t>
      </w:r>
    </w:p>
    <w:p w:rsidR="00B62E11"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15</w:t>
      </w:r>
      <w:r w:rsidRPr="00B62E11">
        <w:rPr>
          <w:lang w:val="fr-FR"/>
        </w:rPr>
        <w:fldChar w:fldCharType="end"/>
      </w:r>
      <w:r w:rsidRPr="00B62E11">
        <w:rPr>
          <w:lang w:val="fr-FR"/>
        </w:rPr>
        <w:t>.  Par son arrêt n</w:t>
      </w:r>
      <w:r w:rsidR="003656CF" w:rsidRPr="00B62E11">
        <w:rPr>
          <w:vertAlign w:val="superscript"/>
          <w:lang w:val="fr-FR"/>
        </w:rPr>
        <w:t>o</w:t>
      </w:r>
      <w:r w:rsidRPr="00B62E11">
        <w:rPr>
          <w:lang w:val="fr-FR"/>
        </w:rPr>
        <w:t xml:space="preserve"> 181 de 2011, la Cour constitutionnelle déclara que l</w:t>
      </w:r>
      <w:r w:rsidR="00B62E11" w:rsidRPr="00B62E11">
        <w:rPr>
          <w:lang w:val="fr-FR"/>
        </w:rPr>
        <w:t>’</w:t>
      </w:r>
      <w:r w:rsidRPr="00B62E11">
        <w:rPr>
          <w:lang w:val="fr-FR"/>
        </w:rPr>
        <w:t>article 5</w:t>
      </w:r>
      <w:r w:rsidRPr="00B62E11">
        <w:rPr>
          <w:i/>
          <w:lang w:val="fr-FR"/>
        </w:rPr>
        <w:t>bis</w:t>
      </w:r>
      <w:r w:rsidRPr="00B62E11">
        <w:rPr>
          <w:lang w:val="fr-FR"/>
        </w:rPr>
        <w:t xml:space="preserve"> de la loi n</w:t>
      </w:r>
      <w:r w:rsidR="003656CF" w:rsidRPr="00B62E11">
        <w:rPr>
          <w:vertAlign w:val="superscript"/>
          <w:lang w:val="fr-FR"/>
        </w:rPr>
        <w:t>o</w:t>
      </w:r>
      <w:r w:rsidRPr="00B62E11">
        <w:rPr>
          <w:lang w:val="fr-FR"/>
        </w:rPr>
        <w:t xml:space="preserve"> 359/1992 était incompatible avec la Constitution, dans la mesure où l</w:t>
      </w:r>
      <w:r w:rsidR="00B62E11" w:rsidRPr="00B62E11">
        <w:rPr>
          <w:lang w:val="fr-FR"/>
        </w:rPr>
        <w:t>’</w:t>
      </w:r>
      <w:r w:rsidRPr="00B62E11">
        <w:rPr>
          <w:lang w:val="fr-FR"/>
        </w:rPr>
        <w:t>indemnité d</w:t>
      </w:r>
      <w:r w:rsidR="00B62E11" w:rsidRPr="00B62E11">
        <w:rPr>
          <w:lang w:val="fr-FR"/>
        </w:rPr>
        <w:t>’</w:t>
      </w:r>
      <w:r w:rsidRPr="00B62E11">
        <w:rPr>
          <w:lang w:val="fr-FR"/>
        </w:rPr>
        <w:t>expropriation pour les terrains non classés comme constructibles était déterminée sur la base d</w:t>
      </w:r>
      <w:r w:rsidR="00B62E11" w:rsidRPr="00B62E11">
        <w:rPr>
          <w:lang w:val="fr-FR"/>
        </w:rPr>
        <w:t>’</w:t>
      </w:r>
      <w:r w:rsidRPr="00B62E11">
        <w:rPr>
          <w:lang w:val="fr-FR"/>
        </w:rPr>
        <w:t>un calcul abstrait. Il ne pouvait pas y avoir d</w:t>
      </w:r>
      <w:r w:rsidR="00B62E11" w:rsidRPr="00B62E11">
        <w:rPr>
          <w:lang w:val="fr-FR"/>
        </w:rPr>
        <w:t>’</w:t>
      </w:r>
      <w:r w:rsidRPr="00B62E11">
        <w:rPr>
          <w:lang w:val="fr-FR"/>
        </w:rPr>
        <w:t>indemnisation adéquate si on faisait abstraction de la valeur de marché du terrain, et cette dernière dépendait des caractéristiques réelles du bien. Il fallait donc baser l</w:t>
      </w:r>
      <w:r w:rsidR="00B62E11" w:rsidRPr="00B62E11">
        <w:rPr>
          <w:lang w:val="fr-FR"/>
        </w:rPr>
        <w:t>’</w:t>
      </w:r>
      <w:r w:rsidRPr="00B62E11">
        <w:rPr>
          <w:lang w:val="fr-FR"/>
        </w:rPr>
        <w:t>indemnité d</w:t>
      </w:r>
      <w:r w:rsidR="00B62E11" w:rsidRPr="00B62E11">
        <w:rPr>
          <w:lang w:val="fr-FR"/>
        </w:rPr>
        <w:t>’</w:t>
      </w:r>
      <w:r w:rsidRPr="00B62E11">
        <w:rPr>
          <w:lang w:val="fr-FR"/>
        </w:rPr>
        <w:t xml:space="preserve">expropriation sur une évaluation </w:t>
      </w:r>
      <w:r w:rsidRPr="00B62E11">
        <w:rPr>
          <w:i/>
          <w:lang w:val="fr-FR"/>
        </w:rPr>
        <w:t>in concreto</w:t>
      </w:r>
      <w:r w:rsidRPr="00B62E11">
        <w:rPr>
          <w:lang w:val="fr-FR"/>
        </w:rPr>
        <w:t xml:space="preserve"> des terrains.</w:t>
      </w:r>
    </w:p>
    <w:p w:rsidR="00B62E11"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16</w:t>
      </w:r>
      <w:r w:rsidRPr="00B62E11">
        <w:rPr>
          <w:lang w:val="fr-FR"/>
        </w:rPr>
        <w:fldChar w:fldCharType="end"/>
      </w:r>
      <w:r w:rsidRPr="00B62E11">
        <w:rPr>
          <w:lang w:val="fr-FR"/>
        </w:rPr>
        <w:t>.  Le requérant n</w:t>
      </w:r>
      <w:r w:rsidR="00B62E11" w:rsidRPr="00B62E11">
        <w:rPr>
          <w:lang w:val="fr-FR"/>
        </w:rPr>
        <w:t>’</w:t>
      </w:r>
      <w:r w:rsidRPr="00B62E11">
        <w:rPr>
          <w:lang w:val="fr-FR"/>
        </w:rPr>
        <w:t>a pu se prévaloir de cet arrêt de la Cour constitutionnelle, la procédure intentée par lui s</w:t>
      </w:r>
      <w:r w:rsidR="00B62E11" w:rsidRPr="00B62E11">
        <w:rPr>
          <w:lang w:val="fr-FR"/>
        </w:rPr>
        <w:t>’</w:t>
      </w:r>
      <w:r w:rsidRPr="00B62E11">
        <w:rPr>
          <w:lang w:val="fr-FR"/>
        </w:rPr>
        <w:t>étant déjà terminée au moment du prononcé de l</w:t>
      </w:r>
      <w:r w:rsidR="00B62E11" w:rsidRPr="00B62E11">
        <w:rPr>
          <w:lang w:val="fr-FR"/>
        </w:rPr>
        <w:t>’</w:t>
      </w:r>
      <w:r w:rsidRPr="00B62E11">
        <w:rPr>
          <w:lang w:val="fr-FR"/>
        </w:rPr>
        <w:t>arrêt n</w:t>
      </w:r>
      <w:r w:rsidR="003656CF" w:rsidRPr="00B62E11">
        <w:rPr>
          <w:vertAlign w:val="superscript"/>
          <w:lang w:val="fr-FR"/>
        </w:rPr>
        <w:t>o</w:t>
      </w:r>
      <w:r w:rsidRPr="00B62E11">
        <w:rPr>
          <w:lang w:val="fr-FR"/>
        </w:rPr>
        <w:t xml:space="preserve"> 181 de 2011 ci-dessus.</w:t>
      </w:r>
    </w:p>
    <w:p w:rsidR="00B62E11"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17</w:t>
      </w:r>
      <w:r w:rsidRPr="00B62E11">
        <w:rPr>
          <w:lang w:val="fr-FR"/>
        </w:rPr>
        <w:fldChar w:fldCharType="end"/>
      </w:r>
      <w:r w:rsidRPr="00B62E11">
        <w:rPr>
          <w:lang w:val="fr-FR"/>
        </w:rPr>
        <w:t>.  Le voisin du requérant a pu se prévaloir de l</w:t>
      </w:r>
      <w:r w:rsidR="00B62E11" w:rsidRPr="00B62E11">
        <w:rPr>
          <w:lang w:val="fr-FR"/>
        </w:rPr>
        <w:t>’</w:t>
      </w:r>
      <w:r w:rsidRPr="00B62E11">
        <w:rPr>
          <w:lang w:val="fr-FR"/>
        </w:rPr>
        <w:t>arrêt de la Cour constitutionnelle, car la procédure le concernant était encore pendante au moment du prononcé de l</w:t>
      </w:r>
      <w:r w:rsidR="00B62E11" w:rsidRPr="00B62E11">
        <w:rPr>
          <w:lang w:val="fr-FR"/>
        </w:rPr>
        <w:t>’</w:t>
      </w:r>
      <w:r w:rsidRPr="00B62E11">
        <w:rPr>
          <w:lang w:val="fr-FR"/>
        </w:rPr>
        <w:t>arrêt. Le 6 juin 2013, la Cour de cassation a ainsi renvoyé le dossier à la cour d</w:t>
      </w:r>
      <w:r w:rsidR="00B62E11" w:rsidRPr="00B62E11">
        <w:rPr>
          <w:lang w:val="fr-FR"/>
        </w:rPr>
        <w:t>’</w:t>
      </w:r>
      <w:r w:rsidRPr="00B62E11">
        <w:rPr>
          <w:lang w:val="fr-FR"/>
        </w:rPr>
        <w:t>appel de Bari, pour qu</w:t>
      </w:r>
      <w:r w:rsidR="00B62E11" w:rsidRPr="00B62E11">
        <w:rPr>
          <w:lang w:val="fr-FR"/>
        </w:rPr>
        <w:t>’</w:t>
      </w:r>
      <w:r w:rsidRPr="00B62E11">
        <w:rPr>
          <w:lang w:val="fr-FR"/>
        </w:rPr>
        <w:t>elle se conforme à l</w:t>
      </w:r>
      <w:r w:rsidR="00B62E11" w:rsidRPr="00B62E11">
        <w:rPr>
          <w:lang w:val="fr-FR"/>
        </w:rPr>
        <w:t>’</w:t>
      </w:r>
      <w:r w:rsidRPr="00B62E11">
        <w:rPr>
          <w:lang w:val="fr-FR"/>
        </w:rPr>
        <w:t>arrêt de la Cour constitutionnelle. Dans une expertise du 2 octobre 2014, l</w:t>
      </w:r>
      <w:r w:rsidR="00B62E11" w:rsidRPr="00B62E11">
        <w:rPr>
          <w:lang w:val="fr-FR"/>
        </w:rPr>
        <w:t>’</w:t>
      </w:r>
      <w:r w:rsidRPr="00B62E11">
        <w:rPr>
          <w:lang w:val="fr-FR"/>
        </w:rPr>
        <w:t>expert nommé par la cour d</w:t>
      </w:r>
      <w:r w:rsidR="00B62E11" w:rsidRPr="00B62E11">
        <w:rPr>
          <w:lang w:val="fr-FR"/>
        </w:rPr>
        <w:t>’</w:t>
      </w:r>
      <w:r w:rsidRPr="00B62E11">
        <w:rPr>
          <w:lang w:val="fr-FR"/>
        </w:rPr>
        <w:t xml:space="preserve">appel a pu évaluer </w:t>
      </w:r>
      <w:r w:rsidRPr="00B62E11">
        <w:rPr>
          <w:i/>
          <w:lang w:val="fr-FR"/>
        </w:rPr>
        <w:t>in concreto</w:t>
      </w:r>
      <w:r w:rsidRPr="00B62E11">
        <w:rPr>
          <w:lang w:val="fr-FR"/>
        </w:rPr>
        <w:t xml:space="preserve"> le terrain du voisin, et a estimé qu</w:t>
      </w:r>
      <w:r w:rsidR="00B62E11" w:rsidRPr="00B62E11">
        <w:rPr>
          <w:lang w:val="fr-FR"/>
        </w:rPr>
        <w:t>’</w:t>
      </w:r>
      <w:r w:rsidRPr="00B62E11">
        <w:rPr>
          <w:lang w:val="fr-FR"/>
        </w:rPr>
        <w:t>au moment de l</w:t>
      </w:r>
      <w:r w:rsidR="00B62E11" w:rsidRPr="00B62E11">
        <w:rPr>
          <w:lang w:val="fr-FR"/>
        </w:rPr>
        <w:t>’</w:t>
      </w:r>
      <w:r w:rsidRPr="00B62E11">
        <w:rPr>
          <w:lang w:val="fr-FR"/>
        </w:rPr>
        <w:t>expropriation (1992) sa valeur était de 20,50 EUR par mètre carré.</w:t>
      </w:r>
    </w:p>
    <w:p w:rsidR="007B2119" w:rsidRPr="00B62E11" w:rsidRDefault="007B2119" w:rsidP="00B62E11">
      <w:pPr>
        <w:pStyle w:val="ECHRHeading1"/>
        <w:rPr>
          <w:lang w:val="fr-FR"/>
        </w:rPr>
      </w:pPr>
      <w:r w:rsidRPr="00B62E11">
        <w:rPr>
          <w:lang w:val="fr-FR"/>
        </w:rPr>
        <w:lastRenderedPageBreak/>
        <w:t>II.  LE DROIT ET LA PRATIQUE INTERNES PERTINENTS</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18</w:t>
      </w:r>
      <w:r w:rsidRPr="00B62E11">
        <w:rPr>
          <w:lang w:val="fr-FR"/>
        </w:rPr>
        <w:fldChar w:fldCharType="end"/>
      </w:r>
      <w:r w:rsidR="003656CF" w:rsidRPr="00B62E11">
        <w:rPr>
          <w:lang w:val="fr-FR"/>
        </w:rPr>
        <w:t>.  La loi n</w:t>
      </w:r>
      <w:r w:rsidR="003656CF" w:rsidRPr="00B62E11">
        <w:rPr>
          <w:vertAlign w:val="superscript"/>
          <w:lang w:val="fr-FR"/>
        </w:rPr>
        <w:t>o</w:t>
      </w:r>
      <w:r w:rsidRPr="00B62E11">
        <w:rPr>
          <w:lang w:val="fr-FR"/>
        </w:rPr>
        <w:t xml:space="preserve"> 2359/1865, en son article 39, prévoyait qu</w:t>
      </w:r>
      <w:r w:rsidR="00B62E11" w:rsidRPr="00B62E11">
        <w:rPr>
          <w:lang w:val="fr-FR"/>
        </w:rPr>
        <w:t>’</w:t>
      </w:r>
      <w:r w:rsidRPr="00B62E11">
        <w:rPr>
          <w:lang w:val="fr-FR"/>
        </w:rPr>
        <w:t>en cas d</w:t>
      </w:r>
      <w:r w:rsidR="00B62E11" w:rsidRPr="00B62E11">
        <w:rPr>
          <w:lang w:val="fr-FR"/>
        </w:rPr>
        <w:t>’</w:t>
      </w:r>
      <w:r w:rsidRPr="00B62E11">
        <w:rPr>
          <w:lang w:val="fr-FR"/>
        </w:rPr>
        <w:t>expropriation d</w:t>
      </w:r>
      <w:r w:rsidR="00B62E11" w:rsidRPr="00B62E11">
        <w:rPr>
          <w:lang w:val="fr-FR"/>
        </w:rPr>
        <w:t>’</w:t>
      </w:r>
      <w:r w:rsidRPr="00B62E11">
        <w:rPr>
          <w:lang w:val="fr-FR"/>
        </w:rPr>
        <w:t>un terrain, l</w:t>
      </w:r>
      <w:r w:rsidR="00B62E11" w:rsidRPr="00B62E11">
        <w:rPr>
          <w:lang w:val="fr-FR"/>
        </w:rPr>
        <w:t>’</w:t>
      </w:r>
      <w:r w:rsidRPr="00B62E11">
        <w:rPr>
          <w:lang w:val="fr-FR"/>
        </w:rPr>
        <w:t>indemnité à verser devait correspondre à la valeur marchande du terrain au moment de l</w:t>
      </w:r>
      <w:r w:rsidR="00B62E11" w:rsidRPr="00B62E11">
        <w:rPr>
          <w:lang w:val="fr-FR"/>
        </w:rPr>
        <w:t>’</w:t>
      </w:r>
      <w:r w:rsidRPr="00B62E11">
        <w:rPr>
          <w:lang w:val="fr-FR"/>
        </w:rPr>
        <w:t>expropriation.</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19</w:t>
      </w:r>
      <w:r w:rsidRPr="00B62E11">
        <w:rPr>
          <w:lang w:val="fr-FR"/>
        </w:rPr>
        <w:fldChar w:fldCharType="end"/>
      </w:r>
      <w:r w:rsidRPr="00B62E11">
        <w:rPr>
          <w:lang w:val="fr-FR"/>
        </w:rPr>
        <w:t>.  La loi n</w:t>
      </w:r>
      <w:r w:rsidR="003656CF" w:rsidRPr="00B62E11">
        <w:rPr>
          <w:vertAlign w:val="superscript"/>
          <w:lang w:val="fr-FR"/>
        </w:rPr>
        <w:t>o</w:t>
      </w:r>
      <w:r w:rsidRPr="00B62E11">
        <w:rPr>
          <w:lang w:val="fr-FR"/>
        </w:rPr>
        <w:t xml:space="preserve"> 865/1971 (complétée par l</w:t>
      </w:r>
      <w:r w:rsidR="00B62E11" w:rsidRPr="00B62E11">
        <w:rPr>
          <w:lang w:val="fr-FR"/>
        </w:rPr>
        <w:t>’</w:t>
      </w:r>
      <w:r w:rsidRPr="00B62E11">
        <w:rPr>
          <w:lang w:val="fr-FR"/>
        </w:rPr>
        <w:t>article 4 du décret-loi n</w:t>
      </w:r>
      <w:r w:rsidR="003656CF" w:rsidRPr="00B62E11">
        <w:rPr>
          <w:vertAlign w:val="superscript"/>
          <w:lang w:val="fr-FR"/>
        </w:rPr>
        <w:t>o</w:t>
      </w:r>
      <w:r w:rsidRPr="00B62E11">
        <w:rPr>
          <w:lang w:val="fr-FR"/>
        </w:rPr>
        <w:t> 115/1974, devenu par la suite la loi n</w:t>
      </w:r>
      <w:r w:rsidR="003656CF" w:rsidRPr="00B62E11">
        <w:rPr>
          <w:vertAlign w:val="superscript"/>
          <w:lang w:val="fr-FR"/>
        </w:rPr>
        <w:t>o</w:t>
      </w:r>
      <w:r w:rsidRPr="00B62E11">
        <w:rPr>
          <w:lang w:val="fr-FR"/>
        </w:rPr>
        <w:t xml:space="preserve"> 247/1974, ainsi que par l</w:t>
      </w:r>
      <w:r w:rsidR="00B62E11" w:rsidRPr="00B62E11">
        <w:rPr>
          <w:lang w:val="fr-FR"/>
        </w:rPr>
        <w:t>’</w:t>
      </w:r>
      <w:r w:rsidRPr="00B62E11">
        <w:rPr>
          <w:lang w:val="fr-FR"/>
        </w:rPr>
        <w:t>article 14 de la loi n</w:t>
      </w:r>
      <w:r w:rsidR="003656CF" w:rsidRPr="00B62E11">
        <w:rPr>
          <w:vertAlign w:val="superscript"/>
          <w:lang w:val="fr-FR"/>
        </w:rPr>
        <w:t>o</w:t>
      </w:r>
      <w:r w:rsidRPr="00B62E11">
        <w:rPr>
          <w:lang w:val="fr-FR"/>
        </w:rPr>
        <w:t xml:space="preserve"> 10/1977) i</w:t>
      </w:r>
      <w:r w:rsidR="006D2C0F" w:rsidRPr="00B62E11">
        <w:rPr>
          <w:lang w:val="fr-FR"/>
        </w:rPr>
        <w:t>ntroduisit de nouveaux critères </w:t>
      </w:r>
      <w:r w:rsidRPr="00B62E11">
        <w:rPr>
          <w:lang w:val="fr-FR"/>
        </w:rPr>
        <w:t>: l</w:t>
      </w:r>
      <w:r w:rsidR="00B62E11" w:rsidRPr="00B62E11">
        <w:rPr>
          <w:lang w:val="fr-FR"/>
        </w:rPr>
        <w:t>’</w:t>
      </w:r>
      <w:r w:rsidRPr="00B62E11">
        <w:rPr>
          <w:lang w:val="fr-FR"/>
        </w:rPr>
        <w:t>indemnisation pour tout terrain, qu</w:t>
      </w:r>
      <w:r w:rsidR="00B62E11" w:rsidRPr="00B62E11">
        <w:rPr>
          <w:lang w:val="fr-FR"/>
        </w:rPr>
        <w:t>’</w:t>
      </w:r>
      <w:r w:rsidRPr="00B62E11">
        <w:rPr>
          <w:lang w:val="fr-FR"/>
        </w:rPr>
        <w:t>il fût agricole ou constructible, devait être calculée comme s</w:t>
      </w:r>
      <w:r w:rsidR="00B62E11" w:rsidRPr="00B62E11">
        <w:rPr>
          <w:lang w:val="fr-FR"/>
        </w:rPr>
        <w:t>’</w:t>
      </w:r>
      <w:r w:rsidRPr="00B62E11">
        <w:rPr>
          <w:lang w:val="fr-FR"/>
        </w:rPr>
        <w:t>il s</w:t>
      </w:r>
      <w:r w:rsidR="00B62E11" w:rsidRPr="00B62E11">
        <w:rPr>
          <w:lang w:val="fr-FR"/>
        </w:rPr>
        <w:t>’</w:t>
      </w:r>
      <w:r w:rsidRPr="00B62E11">
        <w:rPr>
          <w:lang w:val="fr-FR"/>
        </w:rPr>
        <w:t>agissait d</w:t>
      </w:r>
      <w:r w:rsidR="00B62E11" w:rsidRPr="00B62E11">
        <w:rPr>
          <w:lang w:val="fr-FR"/>
        </w:rPr>
        <w:t>’</w:t>
      </w:r>
      <w:r w:rsidRPr="00B62E11">
        <w:rPr>
          <w:lang w:val="fr-FR"/>
        </w:rPr>
        <w:t>un terrain agricole.</w:t>
      </w:r>
    </w:p>
    <w:p w:rsidR="00B62E11"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20</w:t>
      </w:r>
      <w:r w:rsidRPr="00B62E11">
        <w:rPr>
          <w:lang w:val="fr-FR"/>
        </w:rPr>
        <w:fldChar w:fldCharType="end"/>
      </w:r>
      <w:r w:rsidRPr="00B62E11">
        <w:rPr>
          <w:lang w:val="fr-FR"/>
        </w:rPr>
        <w:t>.  Par l</w:t>
      </w:r>
      <w:r w:rsidR="00B62E11" w:rsidRPr="00B62E11">
        <w:rPr>
          <w:lang w:val="fr-FR"/>
        </w:rPr>
        <w:t>’</w:t>
      </w:r>
      <w:r w:rsidRPr="00B62E11">
        <w:rPr>
          <w:lang w:val="fr-FR"/>
        </w:rPr>
        <w:t>arrêt n</w:t>
      </w:r>
      <w:r w:rsidR="003656CF" w:rsidRPr="00B62E11">
        <w:rPr>
          <w:vertAlign w:val="superscript"/>
          <w:lang w:val="fr-FR"/>
        </w:rPr>
        <w:t>o</w:t>
      </w:r>
      <w:r w:rsidRPr="00B62E11">
        <w:rPr>
          <w:lang w:val="fr-FR"/>
        </w:rPr>
        <w:t xml:space="preserve"> 5 du 25 janvier 1980, la Cour constitutionnelle déclara inconstitutionnelle la loi n</w:t>
      </w:r>
      <w:r w:rsidR="003656CF" w:rsidRPr="00B62E11">
        <w:rPr>
          <w:vertAlign w:val="superscript"/>
          <w:lang w:val="fr-FR"/>
        </w:rPr>
        <w:t>o</w:t>
      </w:r>
      <w:r w:rsidRPr="00B62E11">
        <w:rPr>
          <w:lang w:val="fr-FR"/>
        </w:rPr>
        <w:t xml:space="preserve"> 865/1971, au motif que celle-ci traitait de manière identique deux situations très différentes, à savoir qu</w:t>
      </w:r>
      <w:r w:rsidR="00B62E11" w:rsidRPr="00B62E11">
        <w:rPr>
          <w:lang w:val="fr-FR"/>
        </w:rPr>
        <w:t>’</w:t>
      </w:r>
      <w:r w:rsidRPr="00B62E11">
        <w:rPr>
          <w:lang w:val="fr-FR"/>
        </w:rPr>
        <w:t>elle prévoyait le même type d</w:t>
      </w:r>
      <w:r w:rsidR="00B62E11" w:rsidRPr="00B62E11">
        <w:rPr>
          <w:lang w:val="fr-FR"/>
        </w:rPr>
        <w:t>’</w:t>
      </w:r>
      <w:r w:rsidRPr="00B62E11">
        <w:rPr>
          <w:lang w:val="fr-FR"/>
        </w:rPr>
        <w:t>indemnisation pour les terrains constructibles et les terrains agricoles. À la suite de cet arrêt, l</w:t>
      </w:r>
      <w:r w:rsidR="00B62E11" w:rsidRPr="00B62E11">
        <w:rPr>
          <w:lang w:val="fr-FR"/>
        </w:rPr>
        <w:t>’</w:t>
      </w:r>
      <w:r w:rsidRPr="00B62E11">
        <w:rPr>
          <w:lang w:val="fr-FR"/>
        </w:rPr>
        <w:t>article 39 de la loi n</w:t>
      </w:r>
      <w:r w:rsidR="003656CF" w:rsidRPr="00B62E11">
        <w:rPr>
          <w:vertAlign w:val="superscript"/>
          <w:lang w:val="fr-FR"/>
        </w:rPr>
        <w:t>o</w:t>
      </w:r>
      <w:r w:rsidRPr="00B62E11">
        <w:rPr>
          <w:lang w:val="fr-FR"/>
        </w:rPr>
        <w:t xml:space="preserve"> 2359/1865 redéploya ses effets.</w:t>
      </w:r>
    </w:p>
    <w:p w:rsidR="00B62E11"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21</w:t>
      </w:r>
      <w:r w:rsidRPr="00B62E11">
        <w:rPr>
          <w:lang w:val="fr-FR"/>
        </w:rPr>
        <w:fldChar w:fldCharType="end"/>
      </w:r>
      <w:r w:rsidRPr="00B62E11">
        <w:rPr>
          <w:lang w:val="fr-FR"/>
        </w:rPr>
        <w:t>.  Le Parlement adopta la loi n</w:t>
      </w:r>
      <w:r w:rsidR="003656CF" w:rsidRPr="00B62E11">
        <w:rPr>
          <w:vertAlign w:val="superscript"/>
          <w:lang w:val="fr-FR"/>
        </w:rPr>
        <w:t>o</w:t>
      </w:r>
      <w:r w:rsidRPr="00B62E11">
        <w:rPr>
          <w:lang w:val="fr-FR"/>
        </w:rPr>
        <w:t xml:space="preserve"> 385 du 29 juillet 1980, qui réintroduisait les critères venant d</w:t>
      </w:r>
      <w:r w:rsidR="00B62E11" w:rsidRPr="00B62E11">
        <w:rPr>
          <w:lang w:val="fr-FR"/>
        </w:rPr>
        <w:t>’</w:t>
      </w:r>
      <w:r w:rsidRPr="00B62E11">
        <w:rPr>
          <w:lang w:val="fr-FR"/>
        </w:rPr>
        <w:t>être déclarés inconstitutionnels, mais cette fois à titre provisoire. La loi disposait en effet que la somme versée était un acompte devant être complété par une indemnité, qui serait calculée sur la base d</w:t>
      </w:r>
      <w:r w:rsidR="00B62E11" w:rsidRPr="00B62E11">
        <w:rPr>
          <w:lang w:val="fr-FR"/>
        </w:rPr>
        <w:t>’</w:t>
      </w:r>
      <w:r w:rsidRPr="00B62E11">
        <w:rPr>
          <w:lang w:val="fr-FR"/>
        </w:rPr>
        <w:t>une loi à adopter prévoyant des critères d</w:t>
      </w:r>
      <w:r w:rsidR="00B62E11" w:rsidRPr="00B62E11">
        <w:rPr>
          <w:lang w:val="fr-FR"/>
        </w:rPr>
        <w:t>’</w:t>
      </w:r>
      <w:r w:rsidRPr="00B62E11">
        <w:rPr>
          <w:lang w:val="fr-FR"/>
        </w:rPr>
        <w:t>indemnisation spécifiques pour les terrains constructibles.</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22</w:t>
      </w:r>
      <w:r w:rsidRPr="00B62E11">
        <w:rPr>
          <w:lang w:val="fr-FR"/>
        </w:rPr>
        <w:fldChar w:fldCharType="end"/>
      </w:r>
      <w:r w:rsidRPr="00B62E11">
        <w:rPr>
          <w:lang w:val="fr-FR"/>
        </w:rPr>
        <w:t>.  Par l</w:t>
      </w:r>
      <w:r w:rsidR="00B62E11" w:rsidRPr="00B62E11">
        <w:rPr>
          <w:lang w:val="fr-FR"/>
        </w:rPr>
        <w:t>’</w:t>
      </w:r>
      <w:r w:rsidRPr="00B62E11">
        <w:rPr>
          <w:lang w:val="fr-FR"/>
        </w:rPr>
        <w:t>arrêt n</w:t>
      </w:r>
      <w:r w:rsidR="003656CF" w:rsidRPr="00B62E11">
        <w:rPr>
          <w:vertAlign w:val="superscript"/>
          <w:lang w:val="fr-FR"/>
        </w:rPr>
        <w:t>o</w:t>
      </w:r>
      <w:r w:rsidRPr="00B62E11">
        <w:rPr>
          <w:lang w:val="fr-FR"/>
        </w:rPr>
        <w:t xml:space="preserve"> 223 du 15 juillet 1983, la Cour constitutionnelle déclara inconstitutionnelle la loi n</w:t>
      </w:r>
      <w:r w:rsidR="003656CF" w:rsidRPr="00B62E11">
        <w:rPr>
          <w:vertAlign w:val="superscript"/>
          <w:lang w:val="fr-FR"/>
        </w:rPr>
        <w:t>o</w:t>
      </w:r>
      <w:r w:rsidRPr="00B62E11">
        <w:rPr>
          <w:lang w:val="fr-FR"/>
        </w:rPr>
        <w:t xml:space="preserve"> 385/1980, au motif que celle-ci soumettait l</w:t>
      </w:r>
      <w:r w:rsidR="00B62E11" w:rsidRPr="00B62E11">
        <w:rPr>
          <w:lang w:val="fr-FR"/>
        </w:rPr>
        <w:t>’</w:t>
      </w:r>
      <w:r w:rsidRPr="00B62E11">
        <w:rPr>
          <w:lang w:val="fr-FR"/>
        </w:rPr>
        <w:t>indemnisation en cas d</w:t>
      </w:r>
      <w:r w:rsidR="00B62E11" w:rsidRPr="00B62E11">
        <w:rPr>
          <w:lang w:val="fr-FR"/>
        </w:rPr>
        <w:t>’</w:t>
      </w:r>
      <w:r w:rsidRPr="00B62E11">
        <w:rPr>
          <w:lang w:val="fr-FR"/>
        </w:rPr>
        <w:t>expropriation d</w:t>
      </w:r>
      <w:r w:rsidR="00B62E11" w:rsidRPr="00B62E11">
        <w:rPr>
          <w:lang w:val="fr-FR"/>
        </w:rPr>
        <w:t>’</w:t>
      </w:r>
      <w:r w:rsidRPr="00B62E11">
        <w:rPr>
          <w:lang w:val="fr-FR"/>
        </w:rPr>
        <w:t>un terrain constructible à l</w:t>
      </w:r>
      <w:r w:rsidR="00B62E11" w:rsidRPr="00B62E11">
        <w:rPr>
          <w:lang w:val="fr-FR"/>
        </w:rPr>
        <w:t>’</w:t>
      </w:r>
      <w:r w:rsidRPr="00B62E11">
        <w:rPr>
          <w:lang w:val="fr-FR"/>
        </w:rPr>
        <w:t>adoption d</w:t>
      </w:r>
      <w:r w:rsidR="00B62E11" w:rsidRPr="00B62E11">
        <w:rPr>
          <w:lang w:val="fr-FR"/>
        </w:rPr>
        <w:t>’</w:t>
      </w:r>
      <w:r w:rsidRPr="00B62E11">
        <w:rPr>
          <w:lang w:val="fr-FR"/>
        </w:rPr>
        <w:t>une loi future, et qu</w:t>
      </w:r>
      <w:r w:rsidR="00B62E11" w:rsidRPr="00B62E11">
        <w:rPr>
          <w:lang w:val="fr-FR"/>
        </w:rPr>
        <w:t>’</w:t>
      </w:r>
      <w:r w:rsidRPr="00B62E11">
        <w:rPr>
          <w:lang w:val="fr-FR"/>
        </w:rPr>
        <w:t>elle réintroduisait, même si ce n</w:t>
      </w:r>
      <w:r w:rsidR="00B62E11" w:rsidRPr="00B62E11">
        <w:rPr>
          <w:lang w:val="fr-FR"/>
        </w:rPr>
        <w:t>’</w:t>
      </w:r>
      <w:r w:rsidRPr="00B62E11">
        <w:rPr>
          <w:lang w:val="fr-FR"/>
        </w:rPr>
        <w:t>était qu</w:t>
      </w:r>
      <w:r w:rsidR="00B62E11" w:rsidRPr="00B62E11">
        <w:rPr>
          <w:lang w:val="fr-FR"/>
        </w:rPr>
        <w:t>’</w:t>
      </w:r>
      <w:r w:rsidRPr="00B62E11">
        <w:rPr>
          <w:lang w:val="fr-FR"/>
        </w:rPr>
        <w:t>à titre provisoire, des critères d</w:t>
      </w:r>
      <w:r w:rsidR="00B62E11" w:rsidRPr="00B62E11">
        <w:rPr>
          <w:lang w:val="fr-FR"/>
        </w:rPr>
        <w:t>’</w:t>
      </w:r>
      <w:r w:rsidRPr="00B62E11">
        <w:rPr>
          <w:lang w:val="fr-FR"/>
        </w:rPr>
        <w:t>indemnisation déjà déclarés inconstitutionnels. À cet égard, la Cour constitutionnelle rappela que le législateur était tenu de prendre en compte le fait qu</w:t>
      </w:r>
      <w:r w:rsidR="00B62E11" w:rsidRPr="00B62E11">
        <w:rPr>
          <w:lang w:val="fr-FR"/>
        </w:rPr>
        <w:t>’</w:t>
      </w:r>
      <w:r w:rsidRPr="00B62E11">
        <w:rPr>
          <w:lang w:val="fr-FR"/>
        </w:rPr>
        <w:t>une loi déclarée illégale cessait immédiatement de produire ses effets, et souligna la nécessité d</w:t>
      </w:r>
      <w:r w:rsidR="00B62E11" w:rsidRPr="00B62E11">
        <w:rPr>
          <w:lang w:val="fr-FR"/>
        </w:rPr>
        <w:t>’</w:t>
      </w:r>
      <w:r w:rsidRPr="00B62E11">
        <w:rPr>
          <w:lang w:val="fr-FR"/>
        </w:rPr>
        <w:t>élaborer des dispositions accordant des indemnités d</w:t>
      </w:r>
      <w:r w:rsidR="00B62E11" w:rsidRPr="00B62E11">
        <w:rPr>
          <w:lang w:val="fr-FR"/>
        </w:rPr>
        <w:t>’</w:t>
      </w:r>
      <w:r w:rsidRPr="00B62E11">
        <w:rPr>
          <w:lang w:val="fr-FR"/>
        </w:rPr>
        <w:t>expropriation conséquentes (</w:t>
      </w:r>
      <w:r w:rsidRPr="00B62E11">
        <w:rPr>
          <w:i/>
          <w:lang w:val="fr-FR"/>
        </w:rPr>
        <w:t>serio ristoro</w:t>
      </w:r>
      <w:r w:rsidRPr="00B62E11">
        <w:rPr>
          <w:lang w:val="fr-FR"/>
        </w:rPr>
        <w:t>). À la suite de l</w:t>
      </w:r>
      <w:r w:rsidR="00B62E11" w:rsidRPr="00B62E11">
        <w:rPr>
          <w:lang w:val="fr-FR"/>
        </w:rPr>
        <w:t>’</w:t>
      </w:r>
      <w:r w:rsidRPr="00B62E11">
        <w:rPr>
          <w:lang w:val="fr-FR"/>
        </w:rPr>
        <w:t>arrêt n</w:t>
      </w:r>
      <w:r w:rsidR="003656CF" w:rsidRPr="00B62E11">
        <w:rPr>
          <w:vertAlign w:val="superscript"/>
          <w:lang w:val="fr-FR"/>
        </w:rPr>
        <w:t>o</w:t>
      </w:r>
      <w:r w:rsidRPr="00B62E11">
        <w:rPr>
          <w:lang w:val="fr-FR"/>
        </w:rPr>
        <w:t xml:space="preserve"> 223 de 1983, l</w:t>
      </w:r>
      <w:r w:rsidR="00B62E11" w:rsidRPr="00B62E11">
        <w:rPr>
          <w:lang w:val="fr-FR"/>
        </w:rPr>
        <w:t>’</w:t>
      </w:r>
      <w:r w:rsidRPr="00B62E11">
        <w:rPr>
          <w:lang w:val="fr-FR"/>
        </w:rPr>
        <w:t>article 39 de la loi n</w:t>
      </w:r>
      <w:r w:rsidR="003656CF" w:rsidRPr="00B62E11">
        <w:rPr>
          <w:vertAlign w:val="superscript"/>
          <w:lang w:val="fr-FR"/>
        </w:rPr>
        <w:t>o</w:t>
      </w:r>
      <w:r w:rsidRPr="00B62E11">
        <w:rPr>
          <w:lang w:val="fr-FR"/>
        </w:rPr>
        <w:t xml:space="preserve"> 2359/1865 déploya de nouveau ses effets.</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23</w:t>
      </w:r>
      <w:r w:rsidRPr="00B62E11">
        <w:rPr>
          <w:lang w:val="fr-FR"/>
        </w:rPr>
        <w:fldChar w:fldCharType="end"/>
      </w:r>
      <w:r w:rsidRPr="00B62E11">
        <w:rPr>
          <w:lang w:val="fr-FR"/>
        </w:rPr>
        <w:t>.  La loi n</w:t>
      </w:r>
      <w:r w:rsidR="003656CF" w:rsidRPr="00B62E11">
        <w:rPr>
          <w:vertAlign w:val="superscript"/>
          <w:lang w:val="fr-FR"/>
        </w:rPr>
        <w:t>o</w:t>
      </w:r>
      <w:r w:rsidRPr="00B62E11">
        <w:rPr>
          <w:lang w:val="fr-FR"/>
        </w:rPr>
        <w:t xml:space="preserve"> 359 du 8 août 1992 («</w:t>
      </w:r>
      <w:r w:rsidR="006D2C0F" w:rsidRPr="00B62E11">
        <w:rPr>
          <w:lang w:val="fr-FR"/>
        </w:rPr>
        <w:t> </w:t>
      </w:r>
      <w:r w:rsidRPr="00B62E11">
        <w:rPr>
          <w:lang w:val="fr-FR"/>
        </w:rPr>
        <w:t>Mesures urgentes en vue d</w:t>
      </w:r>
      <w:r w:rsidR="00B62E11" w:rsidRPr="00B62E11">
        <w:rPr>
          <w:lang w:val="fr-FR"/>
        </w:rPr>
        <w:t>’</w:t>
      </w:r>
      <w:r w:rsidRPr="00B62E11">
        <w:rPr>
          <w:lang w:val="fr-FR"/>
        </w:rPr>
        <w:t>améliorer l</w:t>
      </w:r>
      <w:r w:rsidR="00B62E11" w:rsidRPr="00B62E11">
        <w:rPr>
          <w:lang w:val="fr-FR"/>
        </w:rPr>
        <w:t>’</w:t>
      </w:r>
      <w:r w:rsidRPr="00B62E11">
        <w:rPr>
          <w:lang w:val="fr-FR"/>
        </w:rPr>
        <w:t>état des finances publiques</w:t>
      </w:r>
      <w:r w:rsidR="006D2C0F" w:rsidRPr="00B62E11">
        <w:rPr>
          <w:lang w:val="fr-FR"/>
        </w:rPr>
        <w:t> </w:t>
      </w:r>
      <w:r w:rsidRPr="00B62E11">
        <w:rPr>
          <w:lang w:val="fr-FR"/>
        </w:rPr>
        <w:t>») introduisit, en son article 5</w:t>
      </w:r>
      <w:r w:rsidRPr="00B62E11">
        <w:rPr>
          <w:i/>
          <w:lang w:val="fr-FR"/>
        </w:rPr>
        <w:t>bis</w:t>
      </w:r>
      <w:r w:rsidRPr="00B62E11">
        <w:rPr>
          <w:lang w:val="fr-FR"/>
        </w:rPr>
        <w:t>, une mesure «</w:t>
      </w:r>
      <w:r w:rsidR="006D2C0F" w:rsidRPr="00B62E11">
        <w:rPr>
          <w:lang w:val="fr-FR"/>
        </w:rPr>
        <w:t> </w:t>
      </w:r>
      <w:r w:rsidRPr="00B62E11">
        <w:rPr>
          <w:lang w:val="fr-FR"/>
        </w:rPr>
        <w:t>provis</w:t>
      </w:r>
      <w:r w:rsidR="006D2C0F" w:rsidRPr="00B62E11">
        <w:rPr>
          <w:lang w:val="fr-FR"/>
        </w:rPr>
        <w:t>oire, exceptionnelle et urgente </w:t>
      </w:r>
      <w:r w:rsidRPr="00B62E11">
        <w:rPr>
          <w:lang w:val="fr-FR"/>
        </w:rPr>
        <w:t>», tendant au redressement des finances publiques, valable jusqu</w:t>
      </w:r>
      <w:r w:rsidR="00B62E11" w:rsidRPr="00B62E11">
        <w:rPr>
          <w:lang w:val="fr-FR"/>
        </w:rPr>
        <w:t>’</w:t>
      </w:r>
      <w:r w:rsidRPr="00B62E11">
        <w:rPr>
          <w:lang w:val="fr-FR"/>
        </w:rPr>
        <w:t>à l</w:t>
      </w:r>
      <w:r w:rsidR="00B62E11" w:rsidRPr="00B62E11">
        <w:rPr>
          <w:lang w:val="fr-FR"/>
        </w:rPr>
        <w:t>’</w:t>
      </w:r>
      <w:r w:rsidRPr="00B62E11">
        <w:rPr>
          <w:lang w:val="fr-FR"/>
        </w:rPr>
        <w:t>adoption de mesures structurelles. Cette disposition s</w:t>
      </w:r>
      <w:r w:rsidR="00B62E11" w:rsidRPr="00B62E11">
        <w:rPr>
          <w:lang w:val="fr-FR"/>
        </w:rPr>
        <w:t>’</w:t>
      </w:r>
      <w:r w:rsidRPr="00B62E11">
        <w:rPr>
          <w:lang w:val="fr-FR"/>
        </w:rPr>
        <w:t>appliquait à toute expropriation en cours et à toute procédure pendante y afférente. Publié dans le B</w:t>
      </w:r>
      <w:r w:rsidR="006D2C0F" w:rsidRPr="00B62E11">
        <w:rPr>
          <w:lang w:val="fr-FR"/>
        </w:rPr>
        <w:t>ulletin officiel des lois le 13 </w:t>
      </w:r>
      <w:r w:rsidRPr="00B62E11">
        <w:rPr>
          <w:lang w:val="fr-FR"/>
        </w:rPr>
        <w:t>août 1992, l</w:t>
      </w:r>
      <w:r w:rsidR="00B62E11" w:rsidRPr="00B62E11">
        <w:rPr>
          <w:lang w:val="fr-FR"/>
        </w:rPr>
        <w:t>’</w:t>
      </w:r>
      <w:r w:rsidRPr="00B62E11">
        <w:rPr>
          <w:lang w:val="fr-FR"/>
        </w:rPr>
        <w:t>article 5</w:t>
      </w:r>
      <w:r w:rsidRPr="00B62E11">
        <w:rPr>
          <w:i/>
          <w:lang w:val="fr-FR"/>
        </w:rPr>
        <w:t>bis</w:t>
      </w:r>
      <w:r w:rsidRPr="00B62E11">
        <w:rPr>
          <w:lang w:val="fr-FR"/>
        </w:rPr>
        <w:t xml:space="preserve"> de la loi n</w:t>
      </w:r>
      <w:r w:rsidR="003656CF" w:rsidRPr="00B62E11">
        <w:rPr>
          <w:vertAlign w:val="superscript"/>
          <w:lang w:val="fr-FR"/>
        </w:rPr>
        <w:t>o</w:t>
      </w:r>
      <w:r w:rsidRPr="00B62E11">
        <w:rPr>
          <w:lang w:val="fr-FR"/>
        </w:rPr>
        <w:t xml:space="preserve"> 359/1992 entra en vigueur le 14 août 1992. Cette disposition prévoyait deux modalités différentes pour le calcul de l</w:t>
      </w:r>
      <w:r w:rsidR="00B62E11" w:rsidRPr="00B62E11">
        <w:rPr>
          <w:lang w:val="fr-FR"/>
        </w:rPr>
        <w:t>’</w:t>
      </w:r>
      <w:r w:rsidRPr="00B62E11">
        <w:rPr>
          <w:lang w:val="fr-FR"/>
        </w:rPr>
        <w:t>indemnisation pour les terrains constructibles, d</w:t>
      </w:r>
      <w:r w:rsidR="00B62E11" w:rsidRPr="00B62E11">
        <w:rPr>
          <w:lang w:val="fr-FR"/>
        </w:rPr>
        <w:t>’</w:t>
      </w:r>
      <w:r w:rsidRPr="00B62E11">
        <w:rPr>
          <w:lang w:val="fr-FR"/>
        </w:rPr>
        <w:t>une part (alinéas 1 et</w:t>
      </w:r>
      <w:r w:rsidR="006D2C0F" w:rsidRPr="00B62E11">
        <w:rPr>
          <w:lang w:val="fr-FR"/>
        </w:rPr>
        <w:t> </w:t>
      </w:r>
      <w:r w:rsidRPr="00B62E11">
        <w:rPr>
          <w:lang w:val="fr-FR"/>
        </w:rPr>
        <w:t>2), et pour les terrains agricoles, d</w:t>
      </w:r>
      <w:r w:rsidR="00B62E11" w:rsidRPr="00B62E11">
        <w:rPr>
          <w:lang w:val="fr-FR"/>
        </w:rPr>
        <w:t>’</w:t>
      </w:r>
      <w:r w:rsidRPr="00B62E11">
        <w:rPr>
          <w:lang w:val="fr-FR"/>
        </w:rPr>
        <w:t>autre part (alinéa 4).</w:t>
      </w:r>
    </w:p>
    <w:p w:rsidR="00B62E11" w:rsidRPr="00B62E11" w:rsidRDefault="007B2119" w:rsidP="00B62E11">
      <w:pPr>
        <w:pStyle w:val="ECHRPara"/>
        <w:rPr>
          <w:lang w:val="fr-FR"/>
        </w:rPr>
      </w:pPr>
      <w:r w:rsidRPr="00B62E11">
        <w:rPr>
          <w:lang w:val="fr-FR"/>
        </w:rPr>
        <w:lastRenderedPageBreak/>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24</w:t>
      </w:r>
      <w:r w:rsidRPr="00B62E11">
        <w:rPr>
          <w:lang w:val="fr-FR"/>
        </w:rPr>
        <w:fldChar w:fldCharType="end"/>
      </w:r>
      <w:r w:rsidRPr="00B62E11">
        <w:rPr>
          <w:lang w:val="fr-FR"/>
        </w:rPr>
        <w:t>.  Pour décider de l</w:t>
      </w:r>
      <w:r w:rsidR="00B62E11" w:rsidRPr="00B62E11">
        <w:rPr>
          <w:lang w:val="fr-FR"/>
        </w:rPr>
        <w:t>’</w:t>
      </w:r>
      <w:r w:rsidRPr="00B62E11">
        <w:rPr>
          <w:lang w:val="fr-FR"/>
        </w:rPr>
        <w:t>indemnisation d</w:t>
      </w:r>
      <w:r w:rsidR="00B62E11" w:rsidRPr="00B62E11">
        <w:rPr>
          <w:lang w:val="fr-FR"/>
        </w:rPr>
        <w:t>’</w:t>
      </w:r>
      <w:r w:rsidRPr="00B62E11">
        <w:rPr>
          <w:lang w:val="fr-FR"/>
        </w:rPr>
        <w:t>un terrain, l</w:t>
      </w:r>
      <w:r w:rsidR="00B62E11" w:rsidRPr="00B62E11">
        <w:rPr>
          <w:lang w:val="fr-FR"/>
        </w:rPr>
        <w:t>’</w:t>
      </w:r>
      <w:r w:rsidRPr="00B62E11">
        <w:rPr>
          <w:lang w:val="fr-FR"/>
        </w:rPr>
        <w:t>article 5</w:t>
      </w:r>
      <w:r w:rsidRPr="00B62E11">
        <w:rPr>
          <w:i/>
          <w:lang w:val="fr-FR"/>
        </w:rPr>
        <w:t>bis</w:t>
      </w:r>
      <w:r w:rsidRPr="00B62E11">
        <w:rPr>
          <w:lang w:val="fr-FR"/>
        </w:rPr>
        <w:t xml:space="preserve"> de la loi n</w:t>
      </w:r>
      <w:r w:rsidR="003656CF" w:rsidRPr="00B62E11">
        <w:rPr>
          <w:vertAlign w:val="superscript"/>
          <w:lang w:val="fr-FR"/>
        </w:rPr>
        <w:t>o</w:t>
      </w:r>
      <w:r w:rsidRPr="00B62E11">
        <w:rPr>
          <w:lang w:val="fr-FR"/>
        </w:rPr>
        <w:t> 359 de 1992 imposait de déterminer préalablement la nature du terrain (constructible ou agricole). À cet égard, l</w:t>
      </w:r>
      <w:r w:rsidR="00B62E11" w:rsidRPr="00B62E11">
        <w:rPr>
          <w:lang w:val="fr-FR"/>
        </w:rPr>
        <w:t>’</w:t>
      </w:r>
      <w:r w:rsidRPr="00B62E11">
        <w:rPr>
          <w:lang w:val="fr-FR"/>
        </w:rPr>
        <w:t>alinéa 3 de l</w:t>
      </w:r>
      <w:r w:rsidR="00B62E11" w:rsidRPr="00B62E11">
        <w:rPr>
          <w:lang w:val="fr-FR"/>
        </w:rPr>
        <w:t>’</w:t>
      </w:r>
      <w:r w:rsidRPr="00B62E11">
        <w:rPr>
          <w:lang w:val="fr-FR"/>
        </w:rPr>
        <w:t>article 5</w:t>
      </w:r>
      <w:r w:rsidRPr="00B62E11">
        <w:rPr>
          <w:i/>
          <w:lang w:val="fr-FR"/>
        </w:rPr>
        <w:t>bis</w:t>
      </w:r>
      <w:r w:rsidRPr="00B62E11">
        <w:rPr>
          <w:lang w:val="fr-FR"/>
        </w:rPr>
        <w:t xml:space="preserve"> prévoyait</w:t>
      </w:r>
      <w:r w:rsidR="006D2C0F" w:rsidRPr="00B62E11">
        <w:rPr>
          <w:lang w:val="fr-FR"/>
        </w:rPr>
        <w:t xml:space="preserve"> </w:t>
      </w:r>
      <w:r w:rsidRPr="00B62E11">
        <w:rPr>
          <w:lang w:val="fr-FR"/>
        </w:rPr>
        <w:t>que « pour déterminer si un terrain est constructible ou pas il faut prendre en compte les possibilités légales et effectives d</w:t>
      </w:r>
      <w:r w:rsidR="00B62E11" w:rsidRPr="00B62E11">
        <w:rPr>
          <w:lang w:val="fr-FR"/>
        </w:rPr>
        <w:t>’</w:t>
      </w:r>
      <w:r w:rsidRPr="00B62E11">
        <w:rPr>
          <w:lang w:val="fr-FR"/>
        </w:rPr>
        <w:t>édifier au moment où le terrain est frappé d</w:t>
      </w:r>
      <w:r w:rsidR="00B62E11" w:rsidRPr="00B62E11">
        <w:rPr>
          <w:lang w:val="fr-FR"/>
        </w:rPr>
        <w:t>’</w:t>
      </w:r>
      <w:r w:rsidRPr="00B62E11">
        <w:rPr>
          <w:lang w:val="fr-FR"/>
        </w:rPr>
        <w:t>un permis d</w:t>
      </w:r>
      <w:r w:rsidR="00B62E11" w:rsidRPr="00B62E11">
        <w:rPr>
          <w:lang w:val="fr-FR"/>
        </w:rPr>
        <w:t>’</w:t>
      </w:r>
      <w:r w:rsidRPr="00B62E11">
        <w:rPr>
          <w:lang w:val="fr-FR"/>
        </w:rPr>
        <w:t>exproprier ».</w:t>
      </w:r>
    </w:p>
    <w:p w:rsidR="00B62E11"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25</w:t>
      </w:r>
      <w:r w:rsidRPr="00B62E11">
        <w:rPr>
          <w:lang w:val="fr-FR"/>
        </w:rPr>
        <w:fldChar w:fldCharType="end"/>
      </w:r>
      <w:r w:rsidRPr="00B62E11">
        <w:rPr>
          <w:lang w:val="fr-FR"/>
        </w:rPr>
        <w:t>.  L</w:t>
      </w:r>
      <w:r w:rsidR="00B62E11" w:rsidRPr="00B62E11">
        <w:rPr>
          <w:lang w:val="fr-FR"/>
        </w:rPr>
        <w:t>’</w:t>
      </w:r>
      <w:r w:rsidRPr="00B62E11">
        <w:rPr>
          <w:lang w:val="fr-FR"/>
        </w:rPr>
        <w:t>interprétation de cette disposition n</w:t>
      </w:r>
      <w:r w:rsidR="00B62E11" w:rsidRPr="00B62E11">
        <w:rPr>
          <w:lang w:val="fr-FR"/>
        </w:rPr>
        <w:t>’</w:t>
      </w:r>
      <w:r w:rsidRPr="00B62E11">
        <w:rPr>
          <w:lang w:val="fr-FR"/>
        </w:rPr>
        <w:t>était pas univoque lorsqu</w:t>
      </w:r>
      <w:r w:rsidR="00B62E11" w:rsidRPr="00B62E11">
        <w:rPr>
          <w:lang w:val="fr-FR"/>
        </w:rPr>
        <w:t>’</w:t>
      </w:r>
      <w:r w:rsidRPr="00B62E11">
        <w:rPr>
          <w:lang w:val="fr-FR"/>
        </w:rPr>
        <w:t>il s</w:t>
      </w:r>
      <w:r w:rsidR="00B62E11" w:rsidRPr="00B62E11">
        <w:rPr>
          <w:lang w:val="fr-FR"/>
        </w:rPr>
        <w:t>’</w:t>
      </w:r>
      <w:r w:rsidRPr="00B62E11">
        <w:rPr>
          <w:lang w:val="fr-FR"/>
        </w:rPr>
        <w:t>agissait de déterminer la nature des terrains qui, en dépit de leur classement comme agricoles par le plan d</w:t>
      </w:r>
      <w:r w:rsidR="00B62E11" w:rsidRPr="00B62E11">
        <w:rPr>
          <w:lang w:val="fr-FR"/>
        </w:rPr>
        <w:t>’</w:t>
      </w:r>
      <w:r w:rsidRPr="00B62E11">
        <w:rPr>
          <w:lang w:val="fr-FR"/>
        </w:rPr>
        <w:t>urbanisme, n</w:t>
      </w:r>
      <w:r w:rsidR="00B62E11" w:rsidRPr="00B62E11">
        <w:rPr>
          <w:lang w:val="fr-FR"/>
        </w:rPr>
        <w:t>’</w:t>
      </w:r>
      <w:r w:rsidRPr="00B62E11">
        <w:rPr>
          <w:lang w:val="fr-FR"/>
        </w:rPr>
        <w:t>étaient pas utilisés pour l</w:t>
      </w:r>
      <w:r w:rsidR="00B62E11" w:rsidRPr="00B62E11">
        <w:rPr>
          <w:lang w:val="fr-FR"/>
        </w:rPr>
        <w:t>’</w:t>
      </w:r>
      <w:r w:rsidRPr="00B62E11">
        <w:rPr>
          <w:lang w:val="fr-FR"/>
        </w:rPr>
        <w:t>agriculture et présentaient des caractéristiques faisant ressortir leur vocation à être édifiés. Par l</w:t>
      </w:r>
      <w:r w:rsidR="00B62E11" w:rsidRPr="00B62E11">
        <w:rPr>
          <w:lang w:val="fr-FR"/>
        </w:rPr>
        <w:t>’</w:t>
      </w:r>
      <w:r w:rsidRPr="00B62E11">
        <w:rPr>
          <w:lang w:val="fr-FR"/>
        </w:rPr>
        <w:t>arrêt n</w:t>
      </w:r>
      <w:r w:rsidR="003656CF" w:rsidRPr="00B62E11">
        <w:rPr>
          <w:vertAlign w:val="superscript"/>
          <w:lang w:val="fr-FR"/>
        </w:rPr>
        <w:t>o</w:t>
      </w:r>
      <w:r w:rsidRPr="00B62E11">
        <w:rPr>
          <w:lang w:val="fr-FR"/>
        </w:rPr>
        <w:t xml:space="preserve"> 172 du 23 avril 2001, les sections réunies de la Cour de cassation précisèrent que seuls les terrains classés comme constructibles par le plan d</w:t>
      </w:r>
      <w:r w:rsidR="00B62E11" w:rsidRPr="00B62E11">
        <w:rPr>
          <w:lang w:val="fr-FR"/>
        </w:rPr>
        <w:t>’</w:t>
      </w:r>
      <w:r w:rsidRPr="00B62E11">
        <w:rPr>
          <w:lang w:val="fr-FR"/>
        </w:rPr>
        <w:t>urbanisme pouvaient être considérés comme constructibles aux fins de l</w:t>
      </w:r>
      <w:r w:rsidR="00B62E11" w:rsidRPr="00B62E11">
        <w:rPr>
          <w:lang w:val="fr-FR"/>
        </w:rPr>
        <w:t>’</w:t>
      </w:r>
      <w:r w:rsidRPr="00B62E11">
        <w:rPr>
          <w:lang w:val="fr-FR"/>
        </w:rPr>
        <w:t>indemnité d</w:t>
      </w:r>
      <w:r w:rsidR="00B62E11" w:rsidRPr="00B62E11">
        <w:rPr>
          <w:lang w:val="fr-FR"/>
        </w:rPr>
        <w:t>’</w:t>
      </w:r>
      <w:r w:rsidRPr="00B62E11">
        <w:rPr>
          <w:lang w:val="fr-FR"/>
        </w:rPr>
        <w:t>expropriation. Par conséquent, tout terrain non classé comme constructible par le plan d</w:t>
      </w:r>
      <w:r w:rsidR="00B62E11" w:rsidRPr="00B62E11">
        <w:rPr>
          <w:lang w:val="fr-FR"/>
        </w:rPr>
        <w:t>’</w:t>
      </w:r>
      <w:r w:rsidRPr="00B62E11">
        <w:rPr>
          <w:lang w:val="fr-FR"/>
        </w:rPr>
        <w:t>urbanisme devait être indemnisé comme un terrain agricole utilisé en agriculture, aux termes de l</w:t>
      </w:r>
      <w:r w:rsidR="00B62E11" w:rsidRPr="00B62E11">
        <w:rPr>
          <w:lang w:val="fr-FR"/>
        </w:rPr>
        <w:t>’</w:t>
      </w:r>
      <w:r w:rsidRPr="00B62E11">
        <w:rPr>
          <w:lang w:val="fr-FR"/>
        </w:rPr>
        <w:t>alinéa 4 de l</w:t>
      </w:r>
      <w:r w:rsidR="00B62E11" w:rsidRPr="00B62E11">
        <w:rPr>
          <w:lang w:val="fr-FR"/>
        </w:rPr>
        <w:t>’</w:t>
      </w:r>
      <w:r w:rsidRPr="00B62E11">
        <w:rPr>
          <w:lang w:val="fr-FR"/>
        </w:rPr>
        <w:t>article 5</w:t>
      </w:r>
      <w:r w:rsidRPr="00B62E11">
        <w:rPr>
          <w:i/>
          <w:lang w:val="fr-FR"/>
        </w:rPr>
        <w:t>bis</w:t>
      </w:r>
      <w:r w:rsidRPr="00B62E11">
        <w:rPr>
          <w:lang w:val="fr-FR"/>
        </w:rPr>
        <w:t>, sans tenir compte des caractéristiques réelles du bien et de sa vocation à être édifié.</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26</w:t>
      </w:r>
      <w:r w:rsidRPr="00B62E11">
        <w:rPr>
          <w:lang w:val="fr-FR"/>
        </w:rPr>
        <w:fldChar w:fldCharType="end"/>
      </w:r>
      <w:r w:rsidRPr="00B62E11">
        <w:rPr>
          <w:lang w:val="fr-FR"/>
        </w:rPr>
        <w:t>.  Aux termes de l</w:t>
      </w:r>
      <w:r w:rsidR="00B62E11" w:rsidRPr="00B62E11">
        <w:rPr>
          <w:lang w:val="fr-FR"/>
        </w:rPr>
        <w:t>’</w:t>
      </w:r>
      <w:r w:rsidRPr="00B62E11">
        <w:rPr>
          <w:lang w:val="fr-FR"/>
        </w:rPr>
        <w:t>alinéa 4 de l</w:t>
      </w:r>
      <w:r w:rsidR="00B62E11" w:rsidRPr="00B62E11">
        <w:rPr>
          <w:lang w:val="fr-FR"/>
        </w:rPr>
        <w:t>’</w:t>
      </w:r>
      <w:r w:rsidRPr="00B62E11">
        <w:rPr>
          <w:lang w:val="fr-FR"/>
        </w:rPr>
        <w:t>article 5</w:t>
      </w:r>
      <w:r w:rsidRPr="00B62E11">
        <w:rPr>
          <w:i/>
          <w:lang w:val="fr-FR"/>
        </w:rPr>
        <w:t>bis</w:t>
      </w:r>
      <w:r w:rsidRPr="00B62E11">
        <w:rPr>
          <w:lang w:val="fr-FR"/>
        </w:rPr>
        <w:t xml:space="preserve"> de la loi n</w:t>
      </w:r>
      <w:r w:rsidR="003656CF" w:rsidRPr="00B62E11">
        <w:rPr>
          <w:vertAlign w:val="superscript"/>
          <w:lang w:val="fr-FR"/>
        </w:rPr>
        <w:t>o</w:t>
      </w:r>
      <w:r w:rsidRPr="00B62E11">
        <w:rPr>
          <w:lang w:val="fr-FR"/>
        </w:rPr>
        <w:t xml:space="preserve"> 359 de 1992, pour calculer l</w:t>
      </w:r>
      <w:r w:rsidR="00B62E11" w:rsidRPr="00B62E11">
        <w:rPr>
          <w:lang w:val="fr-FR"/>
        </w:rPr>
        <w:t>’</w:t>
      </w:r>
      <w:r w:rsidRPr="00B62E11">
        <w:rPr>
          <w:lang w:val="fr-FR"/>
        </w:rPr>
        <w:t>indemnité d</w:t>
      </w:r>
      <w:r w:rsidR="00B62E11" w:rsidRPr="00B62E11">
        <w:rPr>
          <w:lang w:val="fr-FR"/>
        </w:rPr>
        <w:t>’</w:t>
      </w:r>
      <w:r w:rsidRPr="00B62E11">
        <w:rPr>
          <w:lang w:val="fr-FR"/>
        </w:rPr>
        <w:t>expropriation dans le cas d</w:t>
      </w:r>
      <w:r w:rsidR="00B62E11" w:rsidRPr="00B62E11">
        <w:rPr>
          <w:lang w:val="fr-FR"/>
        </w:rPr>
        <w:t>’</w:t>
      </w:r>
      <w:r w:rsidRPr="00B62E11">
        <w:rPr>
          <w:lang w:val="fr-FR"/>
        </w:rPr>
        <w:t>un terrain classé comme agricole mais non cultivé, il fallait appliquer le même critère utilisé pour indemniser un terrain exploité en agriculture, sur base d</w:t>
      </w:r>
      <w:r w:rsidR="00B62E11" w:rsidRPr="00B62E11">
        <w:rPr>
          <w:lang w:val="fr-FR"/>
        </w:rPr>
        <w:t>’</w:t>
      </w:r>
      <w:r w:rsidRPr="00B62E11">
        <w:rPr>
          <w:lang w:val="fr-FR"/>
        </w:rPr>
        <w:t>un calcul abstrait et forfaitaire aboutissant à une somme correspondant à la valeur moyenne de rendement agricole des terrains de la région</w:t>
      </w:r>
      <w:r w:rsidR="006D2C0F" w:rsidRPr="00B62E11">
        <w:rPr>
          <w:lang w:val="fr-FR"/>
        </w:rPr>
        <w:t>.</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27</w:t>
      </w:r>
      <w:r w:rsidRPr="00B62E11">
        <w:rPr>
          <w:lang w:val="fr-FR"/>
        </w:rPr>
        <w:fldChar w:fldCharType="end"/>
      </w:r>
      <w:r w:rsidRPr="00B62E11">
        <w:rPr>
          <w:lang w:val="fr-FR"/>
        </w:rPr>
        <w:t>.  Le Répertoire des dispositions sur l</w:t>
      </w:r>
      <w:r w:rsidR="00B62E11" w:rsidRPr="00B62E11">
        <w:rPr>
          <w:lang w:val="fr-FR"/>
        </w:rPr>
        <w:t>’</w:t>
      </w:r>
      <w:r w:rsidRPr="00B62E11">
        <w:rPr>
          <w:lang w:val="fr-FR"/>
        </w:rPr>
        <w:t>expropriation (décret du président de la République n</w:t>
      </w:r>
      <w:r w:rsidR="003656CF" w:rsidRPr="00B62E11">
        <w:rPr>
          <w:vertAlign w:val="superscript"/>
          <w:lang w:val="fr-FR"/>
        </w:rPr>
        <w:t>o</w:t>
      </w:r>
      <w:r w:rsidRPr="00B62E11">
        <w:rPr>
          <w:lang w:val="fr-FR"/>
        </w:rPr>
        <w:t xml:space="preserve"> 327/2001, modifié par le décret-loi n</w:t>
      </w:r>
      <w:r w:rsidR="003656CF" w:rsidRPr="00B62E11">
        <w:rPr>
          <w:vertAlign w:val="superscript"/>
          <w:lang w:val="fr-FR"/>
        </w:rPr>
        <w:t>o</w:t>
      </w:r>
      <w:r w:rsidR="006D2C0F" w:rsidRPr="00B62E11">
        <w:rPr>
          <w:lang w:val="fr-FR"/>
        </w:rPr>
        <w:t> </w:t>
      </w:r>
      <w:r w:rsidRPr="00B62E11">
        <w:rPr>
          <w:lang w:val="fr-FR"/>
        </w:rPr>
        <w:t>302/2002), entré en vigueur le 30 juin 2003, a codifié les dispositions existantes et les principes jurisprudentiels en matière d</w:t>
      </w:r>
      <w:r w:rsidR="00B62E11" w:rsidRPr="00B62E11">
        <w:rPr>
          <w:lang w:val="fr-FR"/>
        </w:rPr>
        <w:t>’</w:t>
      </w:r>
      <w:r w:rsidRPr="00B62E11">
        <w:rPr>
          <w:lang w:val="fr-FR"/>
        </w:rPr>
        <w:t>expropriation. L</w:t>
      </w:r>
      <w:r w:rsidR="00B62E11" w:rsidRPr="00B62E11">
        <w:rPr>
          <w:lang w:val="fr-FR"/>
        </w:rPr>
        <w:t>’</w:t>
      </w:r>
      <w:r w:rsidRPr="00B62E11">
        <w:rPr>
          <w:lang w:val="fr-FR"/>
        </w:rPr>
        <w:t>article 40 du Répertoire a repris pour l</w:t>
      </w:r>
      <w:r w:rsidR="00B62E11" w:rsidRPr="00B62E11">
        <w:rPr>
          <w:lang w:val="fr-FR"/>
        </w:rPr>
        <w:t>’</w:t>
      </w:r>
      <w:r w:rsidRPr="00B62E11">
        <w:rPr>
          <w:lang w:val="fr-FR"/>
        </w:rPr>
        <w:t>essentiel les critères de fixation de l</w:t>
      </w:r>
      <w:r w:rsidR="00B62E11" w:rsidRPr="00B62E11">
        <w:rPr>
          <w:lang w:val="fr-FR"/>
        </w:rPr>
        <w:t>’</w:t>
      </w:r>
      <w:r w:rsidRPr="00B62E11">
        <w:rPr>
          <w:lang w:val="fr-FR"/>
        </w:rPr>
        <w:t>indemnité d</w:t>
      </w:r>
      <w:r w:rsidR="00B62E11" w:rsidRPr="00B62E11">
        <w:rPr>
          <w:lang w:val="fr-FR"/>
        </w:rPr>
        <w:t>’</w:t>
      </w:r>
      <w:r w:rsidRPr="00B62E11">
        <w:rPr>
          <w:lang w:val="fr-FR"/>
        </w:rPr>
        <w:t>expropriation prévus par l</w:t>
      </w:r>
      <w:r w:rsidR="00B62E11" w:rsidRPr="00B62E11">
        <w:rPr>
          <w:lang w:val="fr-FR"/>
        </w:rPr>
        <w:t>’</w:t>
      </w:r>
      <w:r w:rsidRPr="00B62E11">
        <w:rPr>
          <w:lang w:val="fr-FR"/>
        </w:rPr>
        <w:t>article 5</w:t>
      </w:r>
      <w:r w:rsidRPr="00B62E11">
        <w:rPr>
          <w:i/>
          <w:lang w:val="fr-FR"/>
        </w:rPr>
        <w:t>bis</w:t>
      </w:r>
      <w:r w:rsidRPr="00B62E11">
        <w:rPr>
          <w:lang w:val="fr-FR"/>
        </w:rPr>
        <w:t xml:space="preserve"> de la loi n</w:t>
      </w:r>
      <w:r w:rsidR="003656CF" w:rsidRPr="00B62E11">
        <w:rPr>
          <w:vertAlign w:val="superscript"/>
          <w:lang w:val="fr-FR"/>
        </w:rPr>
        <w:t>o</w:t>
      </w:r>
      <w:r w:rsidRPr="00B62E11">
        <w:rPr>
          <w:lang w:val="fr-FR"/>
        </w:rPr>
        <w:t xml:space="preserve"> 359/1992 pour les terrains non constructibles, tandis que l</w:t>
      </w:r>
      <w:r w:rsidR="00B62E11" w:rsidRPr="00B62E11">
        <w:rPr>
          <w:b/>
          <w:lang w:val="fr-FR"/>
        </w:rPr>
        <w:t>’</w:t>
      </w:r>
      <w:r w:rsidRPr="00B62E11">
        <w:rPr>
          <w:lang w:val="fr-FR"/>
        </w:rPr>
        <w:t>article</w:t>
      </w:r>
      <w:r w:rsidRPr="00B62E11">
        <w:rPr>
          <w:b/>
          <w:lang w:val="fr-FR"/>
        </w:rPr>
        <w:t xml:space="preserve"> </w:t>
      </w:r>
      <w:r w:rsidRPr="00B62E11">
        <w:rPr>
          <w:lang w:val="fr-FR"/>
        </w:rPr>
        <w:t>37 du Répertoire a repris ceux concernant les terrains constructibles.</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28</w:t>
      </w:r>
      <w:r w:rsidRPr="00B62E11">
        <w:rPr>
          <w:lang w:val="fr-FR"/>
        </w:rPr>
        <w:fldChar w:fldCharType="end"/>
      </w:r>
      <w:r w:rsidR="003656CF" w:rsidRPr="00B62E11">
        <w:rPr>
          <w:lang w:val="fr-FR"/>
        </w:rPr>
        <w:t>.  Par son arrêt n</w:t>
      </w:r>
      <w:r w:rsidR="003656CF" w:rsidRPr="00B62E11">
        <w:rPr>
          <w:vertAlign w:val="superscript"/>
          <w:lang w:val="fr-FR"/>
        </w:rPr>
        <w:t>o</w:t>
      </w:r>
      <w:r w:rsidR="006D2C0F" w:rsidRPr="00B62E11">
        <w:rPr>
          <w:lang w:val="fr-FR"/>
        </w:rPr>
        <w:t> </w:t>
      </w:r>
      <w:r w:rsidRPr="00B62E11">
        <w:rPr>
          <w:lang w:val="fr-FR"/>
        </w:rPr>
        <w:t xml:space="preserve">181 de 2011, la Cour constitutionnelle a </w:t>
      </w:r>
      <w:r w:rsidRPr="00B62E11">
        <w:rPr>
          <w:szCs w:val="24"/>
          <w:lang w:val="fr-FR"/>
        </w:rPr>
        <w:t xml:space="preserve">déclaré </w:t>
      </w:r>
      <w:r w:rsidRPr="00B62E11">
        <w:rPr>
          <w:lang w:val="fr-FR"/>
        </w:rPr>
        <w:t>inconstitutionnel l</w:t>
      </w:r>
      <w:r w:rsidR="00B62E11" w:rsidRPr="00B62E11">
        <w:rPr>
          <w:lang w:val="fr-FR"/>
        </w:rPr>
        <w:t>’</w:t>
      </w:r>
      <w:r w:rsidRPr="00B62E11">
        <w:rPr>
          <w:lang w:val="fr-FR"/>
        </w:rPr>
        <w:t>article 5</w:t>
      </w:r>
      <w:r w:rsidRPr="00B62E11">
        <w:rPr>
          <w:i/>
          <w:lang w:val="fr-FR"/>
        </w:rPr>
        <w:t xml:space="preserve">bis </w:t>
      </w:r>
      <w:r w:rsidRPr="00B62E11">
        <w:rPr>
          <w:lang w:val="fr-FR"/>
        </w:rPr>
        <w:t>de la loi n</w:t>
      </w:r>
      <w:r w:rsidR="003656CF" w:rsidRPr="00B62E11">
        <w:rPr>
          <w:vertAlign w:val="superscript"/>
          <w:lang w:val="fr-FR"/>
        </w:rPr>
        <w:t>o</w:t>
      </w:r>
      <w:r w:rsidRPr="00B62E11">
        <w:rPr>
          <w:lang w:val="fr-FR"/>
        </w:rPr>
        <w:t xml:space="preserve"> 359 de 1992, quant aux critères utilisés pour calculer le montant de l</w:t>
      </w:r>
      <w:r w:rsidR="00B62E11" w:rsidRPr="00B62E11">
        <w:rPr>
          <w:lang w:val="fr-FR"/>
        </w:rPr>
        <w:t>’</w:t>
      </w:r>
      <w:r w:rsidRPr="00B62E11">
        <w:rPr>
          <w:lang w:val="fr-FR"/>
        </w:rPr>
        <w:t>indemnisation en cas d</w:t>
      </w:r>
      <w:r w:rsidR="00B62E11" w:rsidRPr="00B62E11">
        <w:rPr>
          <w:lang w:val="fr-FR"/>
        </w:rPr>
        <w:t>’</w:t>
      </w:r>
      <w:r w:rsidRPr="00B62E11">
        <w:rPr>
          <w:lang w:val="fr-FR"/>
        </w:rPr>
        <w:t>expropriation de terrains non classés comme constructibles, qui s</w:t>
      </w:r>
      <w:r w:rsidR="00B62E11" w:rsidRPr="00B62E11">
        <w:rPr>
          <w:lang w:val="fr-FR"/>
        </w:rPr>
        <w:t>’</w:t>
      </w:r>
      <w:r w:rsidRPr="00B62E11">
        <w:rPr>
          <w:lang w:val="fr-FR"/>
        </w:rPr>
        <w:t>appliquaient</w:t>
      </w:r>
      <w:r w:rsidR="00B62E11" w:rsidRPr="00B62E11">
        <w:rPr>
          <w:lang w:val="fr-FR"/>
        </w:rPr>
        <w:t xml:space="preserve"> </w:t>
      </w:r>
      <w:r w:rsidRPr="00B62E11">
        <w:rPr>
          <w:lang w:val="fr-FR"/>
        </w:rPr>
        <w:t xml:space="preserve">indépendamment des caractéristiques réelles du bien exproprié. La Haute Juridiction a estimé que pour avoir une indemnisation adéquate il fallait que celle-ci soit en rapport avec la valeur marchande du terrain, ce qui est était possible uniquement si le terrain en question était évalué </w:t>
      </w:r>
      <w:r w:rsidRPr="00B62E11">
        <w:rPr>
          <w:i/>
          <w:lang w:val="fr-FR"/>
        </w:rPr>
        <w:t>in concreto</w:t>
      </w:r>
      <w:r w:rsidRPr="00B62E11">
        <w:rPr>
          <w:lang w:val="fr-FR"/>
        </w:rPr>
        <w:t>.</w:t>
      </w:r>
    </w:p>
    <w:p w:rsidR="00B62E11"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29</w:t>
      </w:r>
      <w:r w:rsidRPr="00B62E11">
        <w:rPr>
          <w:lang w:val="fr-FR"/>
        </w:rPr>
        <w:fldChar w:fldCharType="end"/>
      </w:r>
      <w:r w:rsidR="003656CF" w:rsidRPr="00B62E11">
        <w:rPr>
          <w:lang w:val="fr-FR"/>
        </w:rPr>
        <w:t>.  Par son arrêt n</w:t>
      </w:r>
      <w:r w:rsidR="003656CF" w:rsidRPr="00B62E11">
        <w:rPr>
          <w:vertAlign w:val="superscript"/>
          <w:lang w:val="fr-FR"/>
        </w:rPr>
        <w:t>o</w:t>
      </w:r>
      <w:r w:rsidRPr="00B62E11">
        <w:rPr>
          <w:lang w:val="fr-FR"/>
        </w:rPr>
        <w:t xml:space="preserve"> 348 de 2007, la Cour constitutionnelle avait par ailleurs déjà déclaré inconstitutionnel l</w:t>
      </w:r>
      <w:r w:rsidR="00B62E11" w:rsidRPr="00B62E11">
        <w:rPr>
          <w:lang w:val="fr-FR"/>
        </w:rPr>
        <w:t>’</w:t>
      </w:r>
      <w:r w:rsidRPr="00B62E11">
        <w:rPr>
          <w:lang w:val="fr-FR"/>
        </w:rPr>
        <w:t>article 5</w:t>
      </w:r>
      <w:r w:rsidRPr="00B62E11">
        <w:rPr>
          <w:i/>
          <w:lang w:val="fr-FR"/>
        </w:rPr>
        <w:t xml:space="preserve">bis </w:t>
      </w:r>
      <w:r w:rsidRPr="00B62E11">
        <w:rPr>
          <w:lang w:val="fr-FR"/>
        </w:rPr>
        <w:t>de la loi n</w:t>
      </w:r>
      <w:r w:rsidR="003656CF" w:rsidRPr="00B62E11">
        <w:rPr>
          <w:vertAlign w:val="superscript"/>
          <w:lang w:val="fr-FR"/>
        </w:rPr>
        <w:t>o</w:t>
      </w:r>
      <w:r w:rsidRPr="00B62E11">
        <w:rPr>
          <w:lang w:val="fr-FR"/>
        </w:rPr>
        <w:t xml:space="preserve"> 359 de 1992, quant aux critères utilisés pour calculer le montant de l</w:t>
      </w:r>
      <w:r w:rsidR="00B62E11" w:rsidRPr="00B62E11">
        <w:rPr>
          <w:lang w:val="fr-FR"/>
        </w:rPr>
        <w:t>’</w:t>
      </w:r>
      <w:r w:rsidRPr="00B62E11">
        <w:rPr>
          <w:lang w:val="fr-FR"/>
        </w:rPr>
        <w:t>indemnisation en cas d</w:t>
      </w:r>
      <w:r w:rsidR="00B62E11" w:rsidRPr="00B62E11">
        <w:rPr>
          <w:lang w:val="fr-FR"/>
        </w:rPr>
        <w:t>’</w:t>
      </w:r>
      <w:r w:rsidRPr="00B62E11">
        <w:rPr>
          <w:lang w:val="fr-FR"/>
        </w:rPr>
        <w:t>expropriation de terrains constructibles. L</w:t>
      </w:r>
      <w:r w:rsidR="00B62E11" w:rsidRPr="00B62E11">
        <w:rPr>
          <w:lang w:val="fr-FR"/>
        </w:rPr>
        <w:t>’</w:t>
      </w:r>
      <w:r w:rsidRPr="00B62E11">
        <w:rPr>
          <w:lang w:val="fr-FR"/>
        </w:rPr>
        <w:t xml:space="preserve">indemnité à verser en cas </w:t>
      </w:r>
      <w:r w:rsidRPr="00B62E11">
        <w:rPr>
          <w:lang w:val="fr-FR"/>
        </w:rPr>
        <w:lastRenderedPageBreak/>
        <w:t>d</w:t>
      </w:r>
      <w:r w:rsidR="00B62E11" w:rsidRPr="00B62E11">
        <w:rPr>
          <w:lang w:val="fr-FR"/>
        </w:rPr>
        <w:t>’</w:t>
      </w:r>
      <w:r w:rsidRPr="00B62E11">
        <w:rPr>
          <w:lang w:val="fr-FR"/>
        </w:rPr>
        <w:t>expropriation d</w:t>
      </w:r>
      <w:r w:rsidR="00B62E11" w:rsidRPr="00B62E11">
        <w:rPr>
          <w:lang w:val="fr-FR"/>
        </w:rPr>
        <w:t>’</w:t>
      </w:r>
      <w:r w:rsidRPr="00B62E11">
        <w:rPr>
          <w:lang w:val="fr-FR"/>
        </w:rPr>
        <w:t>un terrain constructible était en effet calculée selon une formule aboutissant à 30</w:t>
      </w:r>
      <w:r w:rsidR="006D2C0F" w:rsidRPr="00B62E11">
        <w:rPr>
          <w:lang w:val="fr-FR"/>
        </w:rPr>
        <w:t> </w:t>
      </w:r>
      <w:r w:rsidRPr="00B62E11">
        <w:rPr>
          <w:lang w:val="fr-FR"/>
        </w:rPr>
        <w:t>% de la valeur marchande, pouvant aller dans certains cas jusqu</w:t>
      </w:r>
      <w:r w:rsidR="00B62E11" w:rsidRPr="00B62E11">
        <w:rPr>
          <w:lang w:val="fr-FR"/>
        </w:rPr>
        <w:t>’</w:t>
      </w:r>
      <w:r w:rsidRPr="00B62E11">
        <w:rPr>
          <w:lang w:val="fr-FR"/>
        </w:rPr>
        <w:t>à 50</w:t>
      </w:r>
      <w:r w:rsidR="006D2C0F" w:rsidRPr="00B62E11">
        <w:rPr>
          <w:lang w:val="fr-FR"/>
        </w:rPr>
        <w:t> </w:t>
      </w:r>
      <w:r w:rsidRPr="00B62E11">
        <w:rPr>
          <w:lang w:val="fr-FR"/>
        </w:rPr>
        <w:t>%.</w:t>
      </w:r>
    </w:p>
    <w:p w:rsidR="007B2119" w:rsidRPr="00B62E11" w:rsidRDefault="007B2119" w:rsidP="00B62E11">
      <w:pPr>
        <w:pStyle w:val="ECHRTitle1"/>
        <w:rPr>
          <w:lang w:val="fr-FR"/>
        </w:rPr>
      </w:pPr>
      <w:r w:rsidRPr="00B62E11">
        <w:rPr>
          <w:lang w:val="fr-FR"/>
        </w:rPr>
        <w:t>EN DROIT</w:t>
      </w:r>
    </w:p>
    <w:p w:rsidR="007B2119" w:rsidRPr="00B62E11" w:rsidRDefault="006D2C0F" w:rsidP="00B62E11">
      <w:pPr>
        <w:pStyle w:val="ECHRHeading1"/>
        <w:rPr>
          <w:lang w:val="fr-FR"/>
        </w:rPr>
      </w:pPr>
      <w:r w:rsidRPr="00B62E11">
        <w:rPr>
          <w:lang w:val="fr-FR"/>
        </w:rPr>
        <w:t>I.  </w:t>
      </w:r>
      <w:r w:rsidR="007B2119" w:rsidRPr="00B62E11">
        <w:rPr>
          <w:lang w:val="fr-FR"/>
        </w:rPr>
        <w:t>OBSERVATION PRÉLIMINAIRE</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30</w:t>
      </w:r>
      <w:r w:rsidRPr="00B62E11">
        <w:rPr>
          <w:lang w:val="fr-FR"/>
        </w:rPr>
        <w:fldChar w:fldCharType="end"/>
      </w:r>
      <w:r w:rsidRPr="00B62E11">
        <w:rPr>
          <w:lang w:val="fr-FR"/>
        </w:rPr>
        <w:t>.  La Cour note d</w:t>
      </w:r>
      <w:r w:rsidR="00B62E11" w:rsidRPr="00B62E11">
        <w:rPr>
          <w:lang w:val="fr-FR"/>
        </w:rPr>
        <w:t>’</w:t>
      </w:r>
      <w:r w:rsidRPr="00B62E11">
        <w:rPr>
          <w:lang w:val="fr-FR"/>
        </w:rPr>
        <w:t>emblée que le requérant est décédé le 1</w:t>
      </w:r>
      <w:r w:rsidRPr="00B62E11">
        <w:rPr>
          <w:vertAlign w:val="superscript"/>
          <w:lang w:val="fr-FR"/>
        </w:rPr>
        <w:t>er</w:t>
      </w:r>
      <w:r w:rsidRPr="00B62E11">
        <w:rPr>
          <w:lang w:val="fr-FR"/>
        </w:rPr>
        <w:t xml:space="preserve"> janvier 2012. Ses quatre héritiers – son épouse Mme Anna Conte et leurs trois</w:t>
      </w:r>
      <w:r w:rsidR="00685A89" w:rsidRPr="00B62E11">
        <w:rPr>
          <w:lang w:val="fr-FR"/>
        </w:rPr>
        <w:t> </w:t>
      </w:r>
      <w:r w:rsidRPr="00B62E11">
        <w:rPr>
          <w:lang w:val="fr-FR"/>
        </w:rPr>
        <w:t>enfants Vito, Paolo et Anna Preite – ont exprimé le souhait de continuer la procédure devant la Cour. Mme Anna Conte étant décédée le 17 août 2013, les trois enfants du requérant ont fait savoir qu</w:t>
      </w:r>
      <w:r w:rsidR="00B62E11" w:rsidRPr="00B62E11">
        <w:rPr>
          <w:lang w:val="fr-FR"/>
        </w:rPr>
        <w:t>’</w:t>
      </w:r>
      <w:r w:rsidRPr="00B62E11">
        <w:rPr>
          <w:lang w:val="fr-FR"/>
        </w:rPr>
        <w:t>ils avaient hérité de celle-ci et ont confirmé leur souhait de poursuivre l</w:t>
      </w:r>
      <w:r w:rsidR="00B62E11" w:rsidRPr="00B62E11">
        <w:rPr>
          <w:lang w:val="fr-FR"/>
        </w:rPr>
        <w:t>’</w:t>
      </w:r>
      <w:r w:rsidRPr="00B62E11">
        <w:rPr>
          <w:lang w:val="fr-FR"/>
        </w:rPr>
        <w:t>instance.</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31</w:t>
      </w:r>
      <w:r w:rsidRPr="00B62E11">
        <w:rPr>
          <w:lang w:val="fr-FR"/>
        </w:rPr>
        <w:fldChar w:fldCharType="end"/>
      </w:r>
      <w:r w:rsidRPr="00B62E11">
        <w:rPr>
          <w:lang w:val="fr-FR"/>
        </w:rPr>
        <w:t>.  Le Gouvernement, informé de cette situation, n</w:t>
      </w:r>
      <w:r w:rsidR="00B62E11" w:rsidRPr="00B62E11">
        <w:rPr>
          <w:lang w:val="fr-FR"/>
        </w:rPr>
        <w:t>’</w:t>
      </w:r>
      <w:r w:rsidRPr="00B62E11">
        <w:rPr>
          <w:lang w:val="fr-FR"/>
        </w:rPr>
        <w:t>a pas soulevé</w:t>
      </w:r>
      <w:r w:rsidR="00685A89" w:rsidRPr="00B62E11">
        <w:rPr>
          <w:lang w:val="fr-FR"/>
        </w:rPr>
        <w:t xml:space="preserve"> </w:t>
      </w:r>
      <w:r w:rsidRPr="00B62E11">
        <w:rPr>
          <w:lang w:val="fr-FR"/>
        </w:rPr>
        <w:t>d</w:t>
      </w:r>
      <w:r w:rsidR="00B62E11" w:rsidRPr="00B62E11">
        <w:rPr>
          <w:lang w:val="fr-FR"/>
        </w:rPr>
        <w:t>’</w:t>
      </w:r>
      <w:r w:rsidRPr="00B62E11">
        <w:rPr>
          <w:lang w:val="fr-FR"/>
        </w:rPr>
        <w:t>objections.</w:t>
      </w:r>
    </w:p>
    <w:p w:rsidR="007B2119" w:rsidRPr="00B62E11" w:rsidRDefault="007B2119" w:rsidP="00B62E11">
      <w:pPr>
        <w:pStyle w:val="ECHRPara"/>
        <w:rPr>
          <w:szCs w:val="24"/>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32</w:t>
      </w:r>
      <w:r w:rsidRPr="00B62E11">
        <w:rPr>
          <w:lang w:val="fr-FR"/>
        </w:rPr>
        <w:fldChar w:fldCharType="end"/>
      </w:r>
      <w:r w:rsidRPr="00B62E11">
        <w:rPr>
          <w:lang w:val="fr-FR"/>
        </w:rPr>
        <w:t>.  La Cour estime que les héritiers du requérant et de son épouse, eu égard à l</w:t>
      </w:r>
      <w:r w:rsidR="00B62E11" w:rsidRPr="00B62E11">
        <w:rPr>
          <w:lang w:val="fr-FR"/>
        </w:rPr>
        <w:t>’</w:t>
      </w:r>
      <w:r w:rsidRPr="00B62E11">
        <w:rPr>
          <w:lang w:val="fr-FR"/>
        </w:rPr>
        <w:t>objet de la présente affaire, peuvent prétendre avoir un intérêt suffisant pour justifier de la poursuite de l</w:t>
      </w:r>
      <w:r w:rsidR="00B62E11" w:rsidRPr="00B62E11">
        <w:rPr>
          <w:lang w:val="fr-FR"/>
        </w:rPr>
        <w:t>’</w:t>
      </w:r>
      <w:r w:rsidRPr="00B62E11">
        <w:rPr>
          <w:lang w:val="fr-FR"/>
        </w:rPr>
        <w:t>examen de la requête et lui reconnaît dès lors la qualité pour se substituer désormais à lui en l</w:t>
      </w:r>
      <w:r w:rsidR="00B62E11" w:rsidRPr="00B62E11">
        <w:rPr>
          <w:lang w:val="fr-FR"/>
        </w:rPr>
        <w:t>’</w:t>
      </w:r>
      <w:r w:rsidRPr="00B62E11">
        <w:rPr>
          <w:lang w:val="fr-FR"/>
        </w:rPr>
        <w:t xml:space="preserve">espèce (voir, par exemple, </w:t>
      </w:r>
      <w:r w:rsidRPr="00B62E11">
        <w:rPr>
          <w:i/>
          <w:lang w:val="fr-FR"/>
        </w:rPr>
        <w:t>X c. France</w:t>
      </w:r>
      <w:r w:rsidRPr="00B62E11">
        <w:rPr>
          <w:lang w:val="fr-FR"/>
        </w:rPr>
        <w:t xml:space="preserve">, 31 mars 1992, </w:t>
      </w:r>
      <w:r w:rsidR="00685A89" w:rsidRPr="00B62E11">
        <w:rPr>
          <w:lang w:val="fr-FR"/>
        </w:rPr>
        <w:t xml:space="preserve">§ 26, </w:t>
      </w:r>
      <w:r w:rsidRPr="00B62E11">
        <w:rPr>
          <w:lang w:val="fr-FR"/>
        </w:rPr>
        <w:t>série A n</w:t>
      </w:r>
      <w:r w:rsidR="003656CF" w:rsidRPr="00B62E11">
        <w:rPr>
          <w:vertAlign w:val="superscript"/>
          <w:lang w:val="fr-FR"/>
        </w:rPr>
        <w:t>o</w:t>
      </w:r>
      <w:r w:rsidRPr="00B62E11">
        <w:rPr>
          <w:lang w:val="fr-FR"/>
        </w:rPr>
        <w:t xml:space="preserve"> 234-C, p.</w:t>
      </w:r>
      <w:r w:rsidR="00685A89" w:rsidRPr="00B62E11">
        <w:rPr>
          <w:lang w:val="fr-FR"/>
        </w:rPr>
        <w:t> </w:t>
      </w:r>
      <w:r w:rsidRPr="00B62E11">
        <w:rPr>
          <w:lang w:val="fr-FR"/>
        </w:rPr>
        <w:t xml:space="preserve">89, ; </w:t>
      </w:r>
      <w:r w:rsidRPr="00B62E11">
        <w:rPr>
          <w:i/>
          <w:lang w:val="fr-FR"/>
        </w:rPr>
        <w:t>La Rosa et Alba c. Italie (n</w:t>
      </w:r>
      <w:r w:rsidR="00685A89" w:rsidRPr="00B62E11">
        <w:rPr>
          <w:i/>
          <w:vertAlign w:val="superscript"/>
          <w:lang w:val="fr-FR"/>
        </w:rPr>
        <w:t>o</w:t>
      </w:r>
      <w:r w:rsidRPr="00B62E11">
        <w:rPr>
          <w:i/>
          <w:lang w:val="fr-FR"/>
        </w:rPr>
        <w:t xml:space="preserve"> 1)</w:t>
      </w:r>
      <w:r w:rsidRPr="00B62E11">
        <w:rPr>
          <w:lang w:val="fr-FR"/>
        </w:rPr>
        <w:t>, n</w:t>
      </w:r>
      <w:r w:rsidR="003656CF" w:rsidRPr="00B62E11">
        <w:rPr>
          <w:vertAlign w:val="superscript"/>
          <w:lang w:val="fr-FR"/>
        </w:rPr>
        <w:t>o</w:t>
      </w:r>
      <w:r w:rsidRPr="00B62E11">
        <w:rPr>
          <w:lang w:val="fr-FR"/>
        </w:rPr>
        <w:t xml:space="preserve"> 58119/00, </w:t>
      </w:r>
      <w:r w:rsidR="00685A89" w:rsidRPr="00B62E11">
        <w:rPr>
          <w:lang w:val="fr-FR"/>
        </w:rPr>
        <w:t xml:space="preserve">§§ 47-48, </w:t>
      </w:r>
      <w:r w:rsidRPr="00B62E11">
        <w:rPr>
          <w:lang w:val="fr-FR"/>
        </w:rPr>
        <w:t>11 octobre 2005).</w:t>
      </w:r>
    </w:p>
    <w:p w:rsidR="007B2119" w:rsidRPr="00B62E11" w:rsidRDefault="007B2119" w:rsidP="00B62E11">
      <w:pPr>
        <w:pStyle w:val="ECHRHeading1"/>
        <w:rPr>
          <w:lang w:val="fr-FR"/>
        </w:rPr>
      </w:pPr>
      <w:r w:rsidRPr="00B62E11">
        <w:rPr>
          <w:lang w:val="fr-FR"/>
        </w:rPr>
        <w:t>II</w:t>
      </w:r>
      <w:r w:rsidR="00685A89" w:rsidRPr="00B62E11">
        <w:rPr>
          <w:lang w:val="fr-FR"/>
        </w:rPr>
        <w:t>.  </w:t>
      </w:r>
      <w:r w:rsidRPr="00B62E11">
        <w:rPr>
          <w:lang w:val="fr-FR"/>
        </w:rPr>
        <w:t>SUR LA DEMANDE DE RADIATION DE LA REQUETE AU SENS DE L</w:t>
      </w:r>
      <w:r w:rsidR="00B62E11" w:rsidRPr="00B62E11">
        <w:rPr>
          <w:lang w:val="fr-FR"/>
        </w:rPr>
        <w:t>’</w:t>
      </w:r>
      <w:r w:rsidRPr="00B62E11">
        <w:rPr>
          <w:lang w:val="fr-FR"/>
        </w:rPr>
        <w:t>ARTICLE 37 DE LA CONVENTION</w:t>
      </w:r>
    </w:p>
    <w:p w:rsidR="00B62E11"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33</w:t>
      </w:r>
      <w:r w:rsidRPr="00B62E11">
        <w:rPr>
          <w:lang w:val="fr-FR"/>
        </w:rPr>
        <w:fldChar w:fldCharType="end"/>
      </w:r>
      <w:r w:rsidRPr="00B62E11">
        <w:rPr>
          <w:lang w:val="fr-FR"/>
        </w:rPr>
        <w:t>.  Le 27 janvier 2014, le Gouvernement a saisi la Cour d</w:t>
      </w:r>
      <w:r w:rsidR="00B62E11" w:rsidRPr="00B62E11">
        <w:rPr>
          <w:lang w:val="fr-FR"/>
        </w:rPr>
        <w:t>’</w:t>
      </w:r>
      <w:r w:rsidRPr="00B62E11">
        <w:rPr>
          <w:lang w:val="fr-FR"/>
        </w:rPr>
        <w:t>une déclaration unilatérale sollicitant la radiation de l</w:t>
      </w:r>
      <w:r w:rsidR="00B62E11" w:rsidRPr="00B62E11">
        <w:rPr>
          <w:lang w:val="fr-FR"/>
        </w:rPr>
        <w:t>’</w:t>
      </w:r>
      <w:r w:rsidRPr="00B62E11">
        <w:rPr>
          <w:lang w:val="fr-FR"/>
        </w:rPr>
        <w:t>affaire en contrepartie du versement d</w:t>
      </w:r>
      <w:r w:rsidR="00B62E11" w:rsidRPr="00B62E11">
        <w:rPr>
          <w:lang w:val="fr-FR"/>
        </w:rPr>
        <w:t>’</w:t>
      </w:r>
      <w:r w:rsidRPr="00B62E11">
        <w:rPr>
          <w:lang w:val="fr-FR"/>
        </w:rPr>
        <w:t>une somme (38 000 EUR) et de la reconnaissance de la violation du droit au respect des biens au sen</w:t>
      </w:r>
      <w:r w:rsidR="003656CF" w:rsidRPr="00B62E11">
        <w:rPr>
          <w:lang w:val="fr-FR"/>
        </w:rPr>
        <w:t>s de l</w:t>
      </w:r>
      <w:r w:rsidR="00B62E11" w:rsidRPr="00B62E11">
        <w:rPr>
          <w:lang w:val="fr-FR"/>
        </w:rPr>
        <w:t>’</w:t>
      </w:r>
      <w:r w:rsidR="003656CF" w:rsidRPr="00B62E11">
        <w:rPr>
          <w:lang w:val="fr-FR"/>
        </w:rPr>
        <w:t>article 1 du Protocole n</w:t>
      </w:r>
      <w:r w:rsidR="003656CF" w:rsidRPr="00B62E11">
        <w:rPr>
          <w:vertAlign w:val="superscript"/>
          <w:lang w:val="fr-FR"/>
        </w:rPr>
        <w:t>o</w:t>
      </w:r>
      <w:r w:rsidRPr="00B62E11">
        <w:rPr>
          <w:lang w:val="fr-FR"/>
        </w:rPr>
        <w:t> 1 et de l</w:t>
      </w:r>
      <w:r w:rsidR="00B62E11" w:rsidRPr="00B62E11">
        <w:rPr>
          <w:lang w:val="fr-FR"/>
        </w:rPr>
        <w:t>’</w:t>
      </w:r>
      <w:r w:rsidRPr="00B62E11">
        <w:rPr>
          <w:lang w:val="fr-FR"/>
        </w:rPr>
        <w:t>article 6 de la Convention.</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34</w:t>
      </w:r>
      <w:r w:rsidRPr="00B62E11">
        <w:rPr>
          <w:lang w:val="fr-FR"/>
        </w:rPr>
        <w:fldChar w:fldCharType="end"/>
      </w:r>
      <w:r w:rsidRPr="00B62E11">
        <w:rPr>
          <w:lang w:val="fr-FR"/>
        </w:rPr>
        <w:t>.  Le requérant s</w:t>
      </w:r>
      <w:r w:rsidR="00B62E11" w:rsidRPr="00B62E11">
        <w:rPr>
          <w:lang w:val="fr-FR"/>
        </w:rPr>
        <w:t>’</w:t>
      </w:r>
      <w:r w:rsidRPr="00B62E11">
        <w:rPr>
          <w:lang w:val="fr-FR"/>
        </w:rPr>
        <w:t>est opposé à cette proposition. Il a observé que le montant offert était largement inférieur à la valeur du terrain litigieux, telle qu</w:t>
      </w:r>
      <w:r w:rsidR="00B62E11" w:rsidRPr="00B62E11">
        <w:rPr>
          <w:lang w:val="fr-FR"/>
        </w:rPr>
        <w:t>’</w:t>
      </w:r>
      <w:r w:rsidRPr="00B62E11">
        <w:rPr>
          <w:lang w:val="fr-FR"/>
        </w:rPr>
        <w:t>elle ressort des expertises d</w:t>
      </w:r>
      <w:r w:rsidR="00B62E11" w:rsidRPr="00B62E11">
        <w:rPr>
          <w:lang w:val="fr-FR"/>
        </w:rPr>
        <w:t>’</w:t>
      </w:r>
      <w:r w:rsidRPr="00B62E11">
        <w:rPr>
          <w:lang w:val="fr-FR"/>
        </w:rPr>
        <w:t>office effectuées en cours de procédure et également de l</w:t>
      </w:r>
      <w:r w:rsidR="00B62E11" w:rsidRPr="00B62E11">
        <w:rPr>
          <w:lang w:val="fr-FR"/>
        </w:rPr>
        <w:t>’</w:t>
      </w:r>
      <w:r w:rsidRPr="00B62E11">
        <w:rPr>
          <w:lang w:val="fr-FR"/>
        </w:rPr>
        <w:t>expertise d</w:t>
      </w:r>
      <w:r w:rsidR="00B62E11" w:rsidRPr="00B62E11">
        <w:rPr>
          <w:lang w:val="fr-FR"/>
        </w:rPr>
        <w:t>’</w:t>
      </w:r>
      <w:r w:rsidRPr="00B62E11">
        <w:rPr>
          <w:lang w:val="fr-FR"/>
        </w:rPr>
        <w:t>office du 2 octobre 2014 concernant le terrain du voisin.</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35</w:t>
      </w:r>
      <w:r w:rsidRPr="00B62E11">
        <w:rPr>
          <w:lang w:val="fr-FR"/>
        </w:rPr>
        <w:fldChar w:fldCharType="end"/>
      </w:r>
      <w:r w:rsidRPr="00B62E11">
        <w:rPr>
          <w:lang w:val="fr-FR"/>
        </w:rPr>
        <w:t>.  La Cour réaffirme que, dans certaines circonstances, il peut être indiqué de rayer une requête du rôle en vertu de l</w:t>
      </w:r>
      <w:r w:rsidR="00B62E11" w:rsidRPr="00B62E11">
        <w:rPr>
          <w:lang w:val="fr-FR"/>
        </w:rPr>
        <w:t>’</w:t>
      </w:r>
      <w:r w:rsidRPr="00B62E11">
        <w:rPr>
          <w:lang w:val="fr-FR"/>
        </w:rPr>
        <w:t>article 37 § 1 c) de la Convention sur la base d</w:t>
      </w:r>
      <w:r w:rsidR="00B62E11" w:rsidRPr="00B62E11">
        <w:rPr>
          <w:lang w:val="fr-FR"/>
        </w:rPr>
        <w:t>’</w:t>
      </w:r>
      <w:r w:rsidRPr="00B62E11">
        <w:rPr>
          <w:lang w:val="fr-FR"/>
        </w:rPr>
        <w:t>une déclaration unilatérale du gouvernement défendeur même si le requérant souhaite que l</w:t>
      </w:r>
      <w:r w:rsidR="00B62E11" w:rsidRPr="00B62E11">
        <w:rPr>
          <w:lang w:val="fr-FR"/>
        </w:rPr>
        <w:t>’</w:t>
      </w:r>
      <w:r w:rsidRPr="00B62E11">
        <w:rPr>
          <w:lang w:val="fr-FR"/>
        </w:rPr>
        <w:t>examen de l</w:t>
      </w:r>
      <w:r w:rsidR="00B62E11" w:rsidRPr="00B62E11">
        <w:rPr>
          <w:lang w:val="fr-FR"/>
        </w:rPr>
        <w:t>’</w:t>
      </w:r>
      <w:r w:rsidRPr="00B62E11">
        <w:rPr>
          <w:lang w:val="fr-FR"/>
        </w:rPr>
        <w:t xml:space="preserve">affaire se poursuive. Ce seront toutefois les circonstances particulières de la cause qui </w:t>
      </w:r>
      <w:r w:rsidRPr="00B62E11">
        <w:rPr>
          <w:lang w:val="fr-FR"/>
        </w:rPr>
        <w:lastRenderedPageBreak/>
        <w:t>permettront de déterminer si la déclaration unilatérale offre une base suffisante pour que la Cour conclue que le respect des droits de l</w:t>
      </w:r>
      <w:r w:rsidR="00B62E11" w:rsidRPr="00B62E11">
        <w:rPr>
          <w:lang w:val="fr-FR"/>
        </w:rPr>
        <w:t>’</w:t>
      </w:r>
      <w:r w:rsidRPr="00B62E11">
        <w:rPr>
          <w:lang w:val="fr-FR"/>
        </w:rPr>
        <w:t>homme garantis par la Convention n</w:t>
      </w:r>
      <w:r w:rsidR="00B62E11" w:rsidRPr="00B62E11">
        <w:rPr>
          <w:lang w:val="fr-FR"/>
        </w:rPr>
        <w:t>’</w:t>
      </w:r>
      <w:r w:rsidRPr="00B62E11">
        <w:rPr>
          <w:lang w:val="fr-FR"/>
        </w:rPr>
        <w:t>exige pas qu</w:t>
      </w:r>
      <w:r w:rsidR="00B62E11" w:rsidRPr="00B62E11">
        <w:rPr>
          <w:lang w:val="fr-FR"/>
        </w:rPr>
        <w:t>’</w:t>
      </w:r>
      <w:r w:rsidRPr="00B62E11">
        <w:rPr>
          <w:lang w:val="fr-FR"/>
        </w:rPr>
        <w:t>elle poursuive l</w:t>
      </w:r>
      <w:r w:rsidR="00B62E11" w:rsidRPr="00B62E11">
        <w:rPr>
          <w:lang w:val="fr-FR"/>
        </w:rPr>
        <w:t>’</w:t>
      </w:r>
      <w:r w:rsidRPr="00B62E11">
        <w:rPr>
          <w:lang w:val="fr-FR"/>
        </w:rPr>
        <w:t>examen de l</w:t>
      </w:r>
      <w:r w:rsidR="00B62E11" w:rsidRPr="00B62E11">
        <w:rPr>
          <w:lang w:val="fr-FR"/>
        </w:rPr>
        <w:t>’</w:t>
      </w:r>
      <w:r w:rsidRPr="00B62E11">
        <w:rPr>
          <w:lang w:val="fr-FR"/>
        </w:rPr>
        <w:t>affaire au sens de l</w:t>
      </w:r>
      <w:r w:rsidR="00B62E11" w:rsidRPr="00B62E11">
        <w:rPr>
          <w:lang w:val="fr-FR"/>
        </w:rPr>
        <w:t>’</w:t>
      </w:r>
      <w:r w:rsidRPr="00B62E11">
        <w:rPr>
          <w:lang w:val="fr-FR"/>
        </w:rPr>
        <w:t xml:space="preserve">article 37 § 1 </w:t>
      </w:r>
      <w:r w:rsidRPr="00B62E11">
        <w:rPr>
          <w:i/>
          <w:lang w:val="fr-FR"/>
        </w:rPr>
        <w:t>in fine</w:t>
      </w:r>
      <w:r w:rsidRPr="00B62E11">
        <w:rPr>
          <w:lang w:val="fr-FR"/>
        </w:rPr>
        <w:t xml:space="preserve"> (voir, parmi d</w:t>
      </w:r>
      <w:r w:rsidR="00B62E11" w:rsidRPr="00B62E11">
        <w:rPr>
          <w:lang w:val="fr-FR"/>
        </w:rPr>
        <w:t>’</w:t>
      </w:r>
      <w:r w:rsidRPr="00B62E11">
        <w:rPr>
          <w:lang w:val="fr-FR"/>
        </w:rPr>
        <w:t xml:space="preserve">autres, </w:t>
      </w:r>
      <w:r w:rsidRPr="00B62E11">
        <w:rPr>
          <w:i/>
          <w:lang w:val="fr-FR"/>
        </w:rPr>
        <w:t>Tahsin Acar c.</w:t>
      </w:r>
      <w:r w:rsidR="00685A89" w:rsidRPr="00B62E11">
        <w:rPr>
          <w:i/>
          <w:lang w:val="fr-FR"/>
        </w:rPr>
        <w:t> </w:t>
      </w:r>
      <w:r w:rsidRPr="00B62E11">
        <w:rPr>
          <w:i/>
          <w:lang w:val="fr-FR"/>
        </w:rPr>
        <w:t>Turquie</w:t>
      </w:r>
      <w:r w:rsidRPr="00B62E11">
        <w:rPr>
          <w:iCs/>
          <w:lang w:val="fr-FR"/>
        </w:rPr>
        <w:t xml:space="preserve"> (exceptions préliminaires) </w:t>
      </w:r>
      <w:r w:rsidRPr="00B62E11">
        <w:rPr>
          <w:lang w:val="fr-FR"/>
        </w:rPr>
        <w:t>[GC],</w:t>
      </w:r>
      <w:r w:rsidRPr="00B62E11">
        <w:rPr>
          <w:i/>
          <w:lang w:val="fr-FR"/>
        </w:rPr>
        <w:t xml:space="preserve"> </w:t>
      </w:r>
      <w:r w:rsidRPr="00B62E11">
        <w:rPr>
          <w:lang w:val="fr-FR"/>
        </w:rPr>
        <w:t>n</w:t>
      </w:r>
      <w:r w:rsidRPr="00B62E11">
        <w:rPr>
          <w:vertAlign w:val="superscript"/>
          <w:lang w:val="fr-FR"/>
        </w:rPr>
        <w:t xml:space="preserve">o </w:t>
      </w:r>
      <w:r w:rsidRPr="00B62E11">
        <w:rPr>
          <w:lang w:val="fr-FR"/>
        </w:rPr>
        <w:t>26307/95, § 75, CEDH</w:t>
      </w:r>
      <w:r w:rsidR="00685A89" w:rsidRPr="00B62E11">
        <w:rPr>
          <w:lang w:val="fr-FR"/>
        </w:rPr>
        <w:t> </w:t>
      </w:r>
      <w:r w:rsidRPr="00B62E11">
        <w:rPr>
          <w:lang w:val="fr-FR"/>
        </w:rPr>
        <w:t>2003</w:t>
      </w:r>
      <w:r w:rsidRPr="00B62E11">
        <w:rPr>
          <w:lang w:val="fr-FR"/>
        </w:rPr>
        <w:noBreakHyphen/>
        <w:t xml:space="preserve">VI ; </w:t>
      </w:r>
      <w:r w:rsidRPr="00B62E11">
        <w:rPr>
          <w:i/>
          <w:szCs w:val="24"/>
          <w:lang w:val="fr-FR"/>
        </w:rPr>
        <w:t>Melnic c. Moldova</w:t>
      </w:r>
      <w:r w:rsidRPr="00B62E11">
        <w:rPr>
          <w:szCs w:val="24"/>
          <w:lang w:val="fr-FR"/>
        </w:rPr>
        <w:t>, n</w:t>
      </w:r>
      <w:r w:rsidRPr="00B62E11">
        <w:rPr>
          <w:szCs w:val="24"/>
          <w:vertAlign w:val="superscript"/>
          <w:lang w:val="fr-FR"/>
        </w:rPr>
        <w:t>o</w:t>
      </w:r>
      <w:r w:rsidRPr="00B62E11">
        <w:rPr>
          <w:szCs w:val="24"/>
          <w:lang w:val="fr-FR"/>
        </w:rPr>
        <w:t xml:space="preserve"> 6923/03, § 22, 14 novembre 2006).</w:t>
      </w:r>
    </w:p>
    <w:p w:rsidR="007B2119" w:rsidRPr="00B62E11" w:rsidRDefault="007B2119" w:rsidP="00B62E11">
      <w:pPr>
        <w:pStyle w:val="ECHRPara"/>
        <w:rPr>
          <w:lang w:val="fr-FR"/>
        </w:rPr>
      </w:pPr>
      <w:r w:rsidRPr="00B62E11">
        <w:rPr>
          <w:snapToGrid w:val="0"/>
          <w:lang w:val="fr-FR"/>
        </w:rPr>
        <w:fldChar w:fldCharType="begin"/>
      </w:r>
      <w:r w:rsidRPr="00B62E11">
        <w:rPr>
          <w:snapToGrid w:val="0"/>
          <w:lang w:val="fr-FR"/>
        </w:rPr>
        <w:instrText xml:space="preserve"> SEQ level0 \*arabic </w:instrText>
      </w:r>
      <w:r w:rsidRPr="00B62E11">
        <w:rPr>
          <w:snapToGrid w:val="0"/>
          <w:lang w:val="fr-FR"/>
        </w:rPr>
        <w:fldChar w:fldCharType="separate"/>
      </w:r>
      <w:r w:rsidR="00B62E11" w:rsidRPr="00B62E11">
        <w:rPr>
          <w:noProof/>
          <w:snapToGrid w:val="0"/>
          <w:lang w:val="fr-FR"/>
        </w:rPr>
        <w:t>36</w:t>
      </w:r>
      <w:r w:rsidRPr="00B62E11">
        <w:rPr>
          <w:snapToGrid w:val="0"/>
          <w:lang w:val="fr-FR"/>
        </w:rPr>
        <w:fldChar w:fldCharType="end"/>
      </w:r>
      <w:r w:rsidRPr="00B62E11">
        <w:rPr>
          <w:snapToGrid w:val="0"/>
          <w:lang w:val="fr-FR"/>
        </w:rPr>
        <w:t>.  Après avoir examiné les termes de la déclaration du Gouvernement et eu égard à l</w:t>
      </w:r>
      <w:r w:rsidR="00B62E11" w:rsidRPr="00B62E11">
        <w:rPr>
          <w:snapToGrid w:val="0"/>
          <w:lang w:val="fr-FR"/>
        </w:rPr>
        <w:t>’</w:t>
      </w:r>
      <w:r w:rsidRPr="00B62E11">
        <w:rPr>
          <w:snapToGrid w:val="0"/>
          <w:lang w:val="fr-FR"/>
        </w:rPr>
        <w:t>ensemble des circonstances de l</w:t>
      </w:r>
      <w:r w:rsidR="00B62E11" w:rsidRPr="00B62E11">
        <w:rPr>
          <w:snapToGrid w:val="0"/>
          <w:lang w:val="fr-FR"/>
        </w:rPr>
        <w:t>’</w:t>
      </w:r>
      <w:r w:rsidRPr="00B62E11">
        <w:rPr>
          <w:snapToGrid w:val="0"/>
          <w:lang w:val="fr-FR"/>
        </w:rPr>
        <w:t>affaire, la Cour estime que la déclaration en question n</w:t>
      </w:r>
      <w:r w:rsidR="00B62E11" w:rsidRPr="00B62E11">
        <w:rPr>
          <w:snapToGrid w:val="0"/>
          <w:lang w:val="fr-FR"/>
        </w:rPr>
        <w:t>’</w:t>
      </w:r>
      <w:r w:rsidRPr="00B62E11">
        <w:rPr>
          <w:snapToGrid w:val="0"/>
          <w:lang w:val="fr-FR"/>
        </w:rPr>
        <w:t xml:space="preserve">offre pas </w:t>
      </w:r>
      <w:r w:rsidRPr="00B62E11">
        <w:rPr>
          <w:lang w:val="fr-FR"/>
        </w:rPr>
        <w:t>une base suffisante pour conclure que le respect des droits de l</w:t>
      </w:r>
      <w:r w:rsidR="00B62E11" w:rsidRPr="00B62E11">
        <w:rPr>
          <w:lang w:val="fr-FR"/>
        </w:rPr>
        <w:t>’</w:t>
      </w:r>
      <w:r w:rsidRPr="00B62E11">
        <w:rPr>
          <w:lang w:val="fr-FR"/>
        </w:rPr>
        <w:t>homme n</w:t>
      </w:r>
      <w:r w:rsidR="00B62E11" w:rsidRPr="00B62E11">
        <w:rPr>
          <w:lang w:val="fr-FR"/>
        </w:rPr>
        <w:t>’</w:t>
      </w:r>
      <w:r w:rsidRPr="00B62E11">
        <w:rPr>
          <w:lang w:val="fr-FR"/>
        </w:rPr>
        <w:t>exige pas la poursuite de l</w:t>
      </w:r>
      <w:r w:rsidR="00B62E11" w:rsidRPr="00B62E11">
        <w:rPr>
          <w:lang w:val="fr-FR"/>
        </w:rPr>
        <w:t>’</w:t>
      </w:r>
      <w:r w:rsidRPr="00B62E11">
        <w:rPr>
          <w:lang w:val="fr-FR"/>
        </w:rPr>
        <w:t>examen de la requête (</w:t>
      </w:r>
      <w:r w:rsidRPr="00B62E11">
        <w:rPr>
          <w:i/>
          <w:lang w:val="fr-FR"/>
        </w:rPr>
        <w:t>Przemyk c. Pologne</w:t>
      </w:r>
      <w:r w:rsidRPr="00B62E11">
        <w:rPr>
          <w:lang w:val="fr-FR"/>
        </w:rPr>
        <w:t>, n</w:t>
      </w:r>
      <w:r w:rsidR="00685A89" w:rsidRPr="00B62E11">
        <w:rPr>
          <w:szCs w:val="24"/>
          <w:vertAlign w:val="superscript"/>
          <w:lang w:val="fr-FR"/>
        </w:rPr>
        <w:t>o</w:t>
      </w:r>
      <w:r w:rsidRPr="00B62E11">
        <w:rPr>
          <w:lang w:val="fr-FR"/>
        </w:rPr>
        <w:t xml:space="preserve"> 22426/11, § 39, 17 septembre 2013 ; </w:t>
      </w:r>
      <w:r w:rsidRPr="00B62E11">
        <w:rPr>
          <w:i/>
          <w:lang w:val="fr-FR"/>
        </w:rPr>
        <w:t>Rossi et Variale c. Italie</w:t>
      </w:r>
      <w:r w:rsidRPr="00B62E11">
        <w:rPr>
          <w:lang w:val="fr-FR"/>
        </w:rPr>
        <w:t>, n</w:t>
      </w:r>
      <w:r w:rsidR="00685A89" w:rsidRPr="00B62E11">
        <w:rPr>
          <w:szCs w:val="24"/>
          <w:vertAlign w:val="superscript"/>
          <w:lang w:val="fr-FR"/>
        </w:rPr>
        <w:t>o</w:t>
      </w:r>
      <w:r w:rsidRPr="00B62E11">
        <w:rPr>
          <w:lang w:val="fr-FR"/>
        </w:rPr>
        <w:t xml:space="preserve"> 2911/05, 3 juin 2014).</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37</w:t>
      </w:r>
      <w:r w:rsidRPr="00B62E11">
        <w:rPr>
          <w:lang w:val="fr-FR"/>
        </w:rPr>
        <w:fldChar w:fldCharType="end"/>
      </w:r>
      <w:r w:rsidRPr="00B62E11">
        <w:rPr>
          <w:lang w:val="fr-FR"/>
        </w:rPr>
        <w:t>.  Partant, la Cour rejette la demande du Gouvernement tendant à la radiation de la requête du rôle en vertu de l</w:t>
      </w:r>
      <w:r w:rsidR="00B62E11" w:rsidRPr="00B62E11">
        <w:rPr>
          <w:lang w:val="fr-FR"/>
        </w:rPr>
        <w:t>’</w:t>
      </w:r>
      <w:r w:rsidRPr="00B62E11">
        <w:rPr>
          <w:lang w:val="fr-FR"/>
        </w:rPr>
        <w:t>article 37 § 1 c) de la Convention et va en conséquence poursuivre l</w:t>
      </w:r>
      <w:r w:rsidR="00B62E11" w:rsidRPr="00B62E11">
        <w:rPr>
          <w:lang w:val="fr-FR"/>
        </w:rPr>
        <w:t>’</w:t>
      </w:r>
      <w:r w:rsidRPr="00B62E11">
        <w:rPr>
          <w:lang w:val="fr-FR"/>
        </w:rPr>
        <w:t>examen de l</w:t>
      </w:r>
      <w:r w:rsidR="00B62E11" w:rsidRPr="00B62E11">
        <w:rPr>
          <w:lang w:val="fr-FR"/>
        </w:rPr>
        <w:t>’</w:t>
      </w:r>
      <w:r w:rsidRPr="00B62E11">
        <w:rPr>
          <w:lang w:val="fr-FR"/>
        </w:rPr>
        <w:t>affaire au fond.</w:t>
      </w:r>
    </w:p>
    <w:p w:rsidR="007B2119" w:rsidRPr="00B62E11" w:rsidRDefault="007B2119" w:rsidP="00B62E11">
      <w:pPr>
        <w:pStyle w:val="ECHRHeading1"/>
        <w:rPr>
          <w:lang w:val="fr-FR"/>
        </w:rPr>
      </w:pPr>
      <w:r w:rsidRPr="00B62E11">
        <w:rPr>
          <w:lang w:val="fr-FR"/>
        </w:rPr>
        <w:t>III.  SUR LA VIOLATION ALLÉGUÉE DE L</w:t>
      </w:r>
      <w:r w:rsidR="00B62E11" w:rsidRPr="00B62E11">
        <w:rPr>
          <w:lang w:val="fr-FR"/>
        </w:rPr>
        <w:t>’</w:t>
      </w:r>
      <w:r w:rsidRPr="00B62E11">
        <w:rPr>
          <w:lang w:val="fr-FR"/>
        </w:rPr>
        <w:t>ARTICLE 1 DU PROTOCOLE N</w:t>
      </w:r>
      <w:r w:rsidR="003656CF" w:rsidRPr="00B62E11">
        <w:rPr>
          <w:vertAlign w:val="superscript"/>
          <w:lang w:val="fr-FR"/>
        </w:rPr>
        <w:t>o</w:t>
      </w:r>
      <w:r w:rsidRPr="00B62E11">
        <w:rPr>
          <w:lang w:val="fr-FR"/>
        </w:rPr>
        <w:t xml:space="preserve"> 1</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38</w:t>
      </w:r>
      <w:r w:rsidRPr="00B62E11">
        <w:rPr>
          <w:lang w:val="fr-FR"/>
        </w:rPr>
        <w:fldChar w:fldCharType="end"/>
      </w:r>
      <w:r w:rsidRPr="00B62E11">
        <w:rPr>
          <w:lang w:val="fr-FR"/>
        </w:rPr>
        <w:t>.  Le requérant se plaint du caractère inadéquat de l</w:t>
      </w:r>
      <w:r w:rsidR="00B62E11" w:rsidRPr="00B62E11">
        <w:rPr>
          <w:lang w:val="fr-FR"/>
        </w:rPr>
        <w:t>’</w:t>
      </w:r>
      <w:r w:rsidRPr="00B62E11">
        <w:rPr>
          <w:lang w:val="fr-FR"/>
        </w:rPr>
        <w:t>indemnité d</w:t>
      </w:r>
      <w:r w:rsidR="00B62E11" w:rsidRPr="00B62E11">
        <w:rPr>
          <w:lang w:val="fr-FR"/>
        </w:rPr>
        <w:t>’</w:t>
      </w:r>
      <w:r w:rsidRPr="00B62E11">
        <w:rPr>
          <w:lang w:val="fr-FR"/>
        </w:rPr>
        <w:t>expropriation, qui a été calculée sans tenir compte des caractéristiques réelles du terrain, au sens de l</w:t>
      </w:r>
      <w:r w:rsidR="00B62E11" w:rsidRPr="00B62E11">
        <w:rPr>
          <w:lang w:val="fr-FR"/>
        </w:rPr>
        <w:t>’</w:t>
      </w:r>
      <w:r w:rsidRPr="00B62E11">
        <w:rPr>
          <w:lang w:val="fr-FR"/>
        </w:rPr>
        <w:t xml:space="preserve">article </w:t>
      </w:r>
      <w:r w:rsidRPr="00B62E11">
        <w:rPr>
          <w:i/>
          <w:lang w:val="fr-FR"/>
        </w:rPr>
        <w:t>5bis</w:t>
      </w:r>
      <w:r w:rsidRPr="00B62E11">
        <w:rPr>
          <w:lang w:val="fr-FR"/>
        </w:rPr>
        <w:t>, alinéa 4, de la loi n</w:t>
      </w:r>
      <w:r w:rsidR="00685A89" w:rsidRPr="00B62E11">
        <w:rPr>
          <w:vertAlign w:val="superscript"/>
          <w:lang w:val="fr-FR"/>
        </w:rPr>
        <w:t>o</w:t>
      </w:r>
      <w:r w:rsidRPr="00B62E11">
        <w:rPr>
          <w:lang w:val="fr-FR"/>
        </w:rPr>
        <w:t xml:space="preserve"> 359 de 1992. Il allègue la violation de l</w:t>
      </w:r>
      <w:r w:rsidR="00B62E11" w:rsidRPr="00B62E11">
        <w:rPr>
          <w:lang w:val="fr-FR"/>
        </w:rPr>
        <w:t>’</w:t>
      </w:r>
      <w:r w:rsidRPr="00B62E11">
        <w:rPr>
          <w:lang w:val="fr-FR"/>
        </w:rPr>
        <w:t>article 1 du Protocole n</w:t>
      </w:r>
      <w:r w:rsidR="00685A89" w:rsidRPr="00B62E11">
        <w:rPr>
          <w:vertAlign w:val="superscript"/>
          <w:lang w:val="fr-FR"/>
        </w:rPr>
        <w:t>o</w:t>
      </w:r>
      <w:r w:rsidRPr="00B62E11">
        <w:rPr>
          <w:lang w:val="fr-FR"/>
        </w:rPr>
        <w:t xml:space="preserve"> 1, qui se lit ainsi :</w:t>
      </w:r>
    </w:p>
    <w:p w:rsidR="007B2119" w:rsidRPr="00B62E11" w:rsidRDefault="007B2119" w:rsidP="00B62E11">
      <w:pPr>
        <w:pStyle w:val="ECHRParaQuote"/>
        <w:rPr>
          <w:lang w:val="fr-FR"/>
        </w:rPr>
      </w:pPr>
      <w:r w:rsidRPr="00B62E11">
        <w:rPr>
          <w:lang w:val="fr-FR"/>
        </w:rPr>
        <w:t>« Toute personne physique ou morale a droit au respect de ses biens. Nul ne peut être privé de sa propriété que pour cause d</w:t>
      </w:r>
      <w:r w:rsidR="00B62E11" w:rsidRPr="00B62E11">
        <w:rPr>
          <w:lang w:val="fr-FR"/>
        </w:rPr>
        <w:t>’</w:t>
      </w:r>
      <w:r w:rsidRPr="00B62E11">
        <w:rPr>
          <w:lang w:val="fr-FR"/>
        </w:rPr>
        <w:t>utilité publique et dans les conditions prévues par la loi et les principes généraux du droit international.</w:t>
      </w:r>
    </w:p>
    <w:p w:rsidR="007B2119" w:rsidRPr="00B62E11" w:rsidRDefault="007B2119" w:rsidP="00B62E11">
      <w:pPr>
        <w:pStyle w:val="ECHRParaQuote"/>
        <w:rPr>
          <w:lang w:val="fr-FR"/>
        </w:rPr>
      </w:pPr>
      <w:r w:rsidRPr="00B62E11">
        <w:rPr>
          <w:lang w:val="fr-FR"/>
        </w:rPr>
        <w:t>Les dispositions précédentes ne portent pas atteinte au droit que possèdent les États de mettre en vigueur les lois qu</w:t>
      </w:r>
      <w:r w:rsidR="00B62E11" w:rsidRPr="00B62E11">
        <w:rPr>
          <w:lang w:val="fr-FR"/>
        </w:rPr>
        <w:t>’</w:t>
      </w:r>
      <w:r w:rsidRPr="00B62E11">
        <w:rPr>
          <w:lang w:val="fr-FR"/>
        </w:rPr>
        <w:t>ils jugent nécessaires pour réglementer l</w:t>
      </w:r>
      <w:r w:rsidR="00B62E11" w:rsidRPr="00B62E11">
        <w:rPr>
          <w:lang w:val="fr-FR"/>
        </w:rPr>
        <w:t>’</w:t>
      </w:r>
      <w:r w:rsidRPr="00B62E11">
        <w:rPr>
          <w:lang w:val="fr-FR"/>
        </w:rPr>
        <w:t>usage des biens conformément à l</w:t>
      </w:r>
      <w:r w:rsidR="00B62E11" w:rsidRPr="00B62E11">
        <w:rPr>
          <w:lang w:val="fr-FR"/>
        </w:rPr>
        <w:t>’</w:t>
      </w:r>
      <w:r w:rsidRPr="00B62E11">
        <w:rPr>
          <w:lang w:val="fr-FR"/>
        </w:rPr>
        <w:t>intérêt général ou pour assurer le paiement des impôts ou d</w:t>
      </w:r>
      <w:r w:rsidR="00B62E11" w:rsidRPr="00B62E11">
        <w:rPr>
          <w:lang w:val="fr-FR"/>
        </w:rPr>
        <w:t>’</w:t>
      </w:r>
      <w:r w:rsidRPr="00B62E11">
        <w:rPr>
          <w:lang w:val="fr-FR"/>
        </w:rPr>
        <w:t>autres contributions ou des amendes. »</w:t>
      </w:r>
    </w:p>
    <w:p w:rsidR="007B2119" w:rsidRPr="00B62E11" w:rsidRDefault="007B2119" w:rsidP="00B62E11">
      <w:pPr>
        <w:pStyle w:val="ECHRHeading2"/>
        <w:rPr>
          <w:lang w:val="fr-FR"/>
        </w:rPr>
      </w:pPr>
      <w:r w:rsidRPr="00B62E11">
        <w:rPr>
          <w:lang w:val="fr-FR"/>
        </w:rPr>
        <w:t>A.  Sur la recevabilité</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39</w:t>
      </w:r>
      <w:r w:rsidRPr="00B62E11">
        <w:rPr>
          <w:lang w:val="fr-FR"/>
        </w:rPr>
        <w:fldChar w:fldCharType="end"/>
      </w:r>
      <w:r w:rsidRPr="00B62E11">
        <w:rPr>
          <w:lang w:val="fr-FR"/>
        </w:rPr>
        <w:t>.  La Cour constate que ce grief n</w:t>
      </w:r>
      <w:r w:rsidR="00B62E11" w:rsidRPr="00B62E11">
        <w:rPr>
          <w:lang w:val="fr-FR"/>
        </w:rPr>
        <w:t>’</w:t>
      </w:r>
      <w:r w:rsidRPr="00B62E11">
        <w:rPr>
          <w:lang w:val="fr-FR"/>
        </w:rPr>
        <w:t>est pas manifestement mal fondé au sens de l</w:t>
      </w:r>
      <w:r w:rsidR="00B62E11" w:rsidRPr="00B62E11">
        <w:rPr>
          <w:lang w:val="fr-FR"/>
        </w:rPr>
        <w:t>’</w:t>
      </w:r>
      <w:r w:rsidRPr="00B62E11">
        <w:rPr>
          <w:lang w:val="fr-FR"/>
        </w:rPr>
        <w:t>article 35 § 3 (a) de la Convention. La Cour relève par ailleurs qu</w:t>
      </w:r>
      <w:r w:rsidR="00B62E11" w:rsidRPr="00B62E11">
        <w:rPr>
          <w:lang w:val="fr-FR"/>
        </w:rPr>
        <w:t>’</w:t>
      </w:r>
      <w:r w:rsidRPr="00B62E11">
        <w:rPr>
          <w:lang w:val="fr-FR"/>
        </w:rPr>
        <w:t>il ne se heurte à aucun autre motif d</w:t>
      </w:r>
      <w:r w:rsidR="00B62E11" w:rsidRPr="00B62E11">
        <w:rPr>
          <w:lang w:val="fr-FR"/>
        </w:rPr>
        <w:t>’</w:t>
      </w:r>
      <w:r w:rsidRPr="00B62E11">
        <w:rPr>
          <w:lang w:val="fr-FR"/>
        </w:rPr>
        <w:t>irrecevabilité. Il convient donc de le déclarer recevable.</w:t>
      </w:r>
    </w:p>
    <w:p w:rsidR="007B2119" w:rsidRPr="00B62E11" w:rsidRDefault="007B2119" w:rsidP="00B62E11">
      <w:pPr>
        <w:pStyle w:val="ECHRHeading2"/>
        <w:rPr>
          <w:lang w:val="fr-FR"/>
        </w:rPr>
      </w:pPr>
      <w:r w:rsidRPr="00B62E11">
        <w:rPr>
          <w:lang w:val="fr-FR"/>
        </w:rPr>
        <w:t>B.  Sur le fond</w:t>
      </w:r>
    </w:p>
    <w:p w:rsidR="007B2119" w:rsidRPr="00B62E11" w:rsidRDefault="00685A89" w:rsidP="00B62E11">
      <w:pPr>
        <w:pStyle w:val="ECHRHeading3"/>
        <w:rPr>
          <w:lang w:val="fr-FR"/>
        </w:rPr>
      </w:pPr>
      <w:r w:rsidRPr="00B62E11">
        <w:rPr>
          <w:lang w:val="fr-FR"/>
        </w:rPr>
        <w:t>1.  </w:t>
      </w:r>
      <w:r w:rsidR="007B2119" w:rsidRPr="00B62E11">
        <w:rPr>
          <w:lang w:val="fr-FR"/>
        </w:rPr>
        <w:t>Arguments des parties</w:t>
      </w:r>
    </w:p>
    <w:p w:rsidR="00B62E11"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40</w:t>
      </w:r>
      <w:r w:rsidRPr="00B62E11">
        <w:rPr>
          <w:lang w:val="fr-FR"/>
        </w:rPr>
        <w:fldChar w:fldCharType="end"/>
      </w:r>
      <w:r w:rsidRPr="00B62E11">
        <w:rPr>
          <w:lang w:val="fr-FR"/>
        </w:rPr>
        <w:t>.  Le requérant allègue que l</w:t>
      </w:r>
      <w:r w:rsidR="00B62E11" w:rsidRPr="00B62E11">
        <w:rPr>
          <w:lang w:val="fr-FR"/>
        </w:rPr>
        <w:t>’</w:t>
      </w:r>
      <w:r w:rsidRPr="00B62E11">
        <w:rPr>
          <w:lang w:val="fr-FR"/>
        </w:rPr>
        <w:t>indemnité d</w:t>
      </w:r>
      <w:r w:rsidR="00B62E11" w:rsidRPr="00B62E11">
        <w:rPr>
          <w:lang w:val="fr-FR"/>
        </w:rPr>
        <w:t>’</w:t>
      </w:r>
      <w:r w:rsidRPr="00B62E11">
        <w:rPr>
          <w:lang w:val="fr-FR"/>
        </w:rPr>
        <w:t>expropriation qu</w:t>
      </w:r>
      <w:r w:rsidR="00B62E11" w:rsidRPr="00B62E11">
        <w:rPr>
          <w:lang w:val="fr-FR"/>
        </w:rPr>
        <w:t>’</w:t>
      </w:r>
      <w:r w:rsidRPr="00B62E11">
        <w:rPr>
          <w:lang w:val="fr-FR"/>
        </w:rPr>
        <w:t>il a reçue n</w:t>
      </w:r>
      <w:r w:rsidR="00B62E11" w:rsidRPr="00B62E11">
        <w:rPr>
          <w:lang w:val="fr-FR"/>
        </w:rPr>
        <w:t>’</w:t>
      </w:r>
      <w:r w:rsidRPr="00B62E11">
        <w:rPr>
          <w:lang w:val="fr-FR"/>
        </w:rPr>
        <w:t>est pas adéquate vu qu</w:t>
      </w:r>
      <w:r w:rsidR="00B62E11" w:rsidRPr="00B62E11">
        <w:rPr>
          <w:lang w:val="fr-FR"/>
        </w:rPr>
        <w:t>’</w:t>
      </w:r>
      <w:r w:rsidRPr="00B62E11">
        <w:rPr>
          <w:lang w:val="fr-FR"/>
        </w:rPr>
        <w:t xml:space="preserve">elle est très sensiblement inférieure à la valeur </w:t>
      </w:r>
      <w:r w:rsidRPr="00B62E11">
        <w:rPr>
          <w:lang w:val="fr-FR"/>
        </w:rPr>
        <w:lastRenderedPageBreak/>
        <w:t>marchande du terrain. Ceci découle du fait que l</w:t>
      </w:r>
      <w:r w:rsidR="00B62E11" w:rsidRPr="00B62E11">
        <w:rPr>
          <w:lang w:val="fr-FR"/>
        </w:rPr>
        <w:t>’</w:t>
      </w:r>
      <w:r w:rsidRPr="00B62E11">
        <w:rPr>
          <w:lang w:val="fr-FR"/>
        </w:rPr>
        <w:t>indemnité litigieuse n</w:t>
      </w:r>
      <w:r w:rsidR="00B62E11" w:rsidRPr="00B62E11">
        <w:rPr>
          <w:lang w:val="fr-FR"/>
        </w:rPr>
        <w:t>’</w:t>
      </w:r>
      <w:r w:rsidRPr="00B62E11">
        <w:rPr>
          <w:lang w:val="fr-FR"/>
        </w:rPr>
        <w:t>a pas été calculée en fonction des caractéristiques réelles du terrain, mais sur la base d</w:t>
      </w:r>
      <w:r w:rsidR="00B62E11" w:rsidRPr="00B62E11">
        <w:rPr>
          <w:lang w:val="fr-FR"/>
        </w:rPr>
        <w:t>’</w:t>
      </w:r>
      <w:r w:rsidRPr="00B62E11">
        <w:rPr>
          <w:lang w:val="fr-FR"/>
        </w:rPr>
        <w:t>un calcul abstrait. En effet, le terrain litigieux était classé comme « agricole spécial », mais il n</w:t>
      </w:r>
      <w:r w:rsidR="00B62E11" w:rsidRPr="00B62E11">
        <w:rPr>
          <w:lang w:val="fr-FR"/>
        </w:rPr>
        <w:t>’</w:t>
      </w:r>
      <w:r w:rsidRPr="00B62E11">
        <w:rPr>
          <w:lang w:val="fr-FR"/>
        </w:rPr>
        <w:t>était pas exploité à des fins agricoles. Situé au centre-ville, à deux cents mètres de la place principale, il avait vocation à être édifié. D</w:t>
      </w:r>
      <w:r w:rsidR="00B62E11" w:rsidRPr="00B62E11">
        <w:rPr>
          <w:lang w:val="fr-FR"/>
        </w:rPr>
        <w:t>’</w:t>
      </w:r>
      <w:r w:rsidRPr="00B62E11">
        <w:rPr>
          <w:lang w:val="fr-FR"/>
        </w:rPr>
        <w:t>ailleurs, il a été utilisé par la ville pour y bâtir un espace commercial (marché couvert). Les juridictions nationales ont fixé l</w:t>
      </w:r>
      <w:r w:rsidR="00B62E11" w:rsidRPr="00B62E11">
        <w:rPr>
          <w:lang w:val="fr-FR"/>
        </w:rPr>
        <w:t>’</w:t>
      </w:r>
      <w:r w:rsidRPr="00B62E11">
        <w:rPr>
          <w:lang w:val="fr-FR"/>
        </w:rPr>
        <w:t>indemnisation comme si le terrain était exploité en agriculture, et ont accordé une somme correspondant au rendement agricole moyen des terrains de la région, aux termes de l</w:t>
      </w:r>
      <w:r w:rsidR="00B62E11" w:rsidRPr="00B62E11">
        <w:rPr>
          <w:lang w:val="fr-FR"/>
        </w:rPr>
        <w:t>’</w:t>
      </w:r>
      <w:r w:rsidRPr="00B62E11">
        <w:rPr>
          <w:lang w:val="fr-FR"/>
        </w:rPr>
        <w:t>article 5</w:t>
      </w:r>
      <w:r w:rsidRPr="00B62E11">
        <w:rPr>
          <w:i/>
          <w:lang w:val="fr-FR"/>
        </w:rPr>
        <w:t>bis</w:t>
      </w:r>
      <w:r w:rsidRPr="00B62E11">
        <w:rPr>
          <w:lang w:val="fr-FR"/>
        </w:rPr>
        <w:t xml:space="preserve"> de la loi n</w:t>
      </w:r>
      <w:r w:rsidR="00865E22" w:rsidRPr="00B62E11">
        <w:rPr>
          <w:vertAlign w:val="superscript"/>
          <w:lang w:val="fr-FR"/>
        </w:rPr>
        <w:t>o</w:t>
      </w:r>
      <w:r w:rsidRPr="00B62E11">
        <w:rPr>
          <w:lang w:val="fr-FR"/>
        </w:rPr>
        <w:t xml:space="preserve"> 359 de 1992. Le seul critère qui a été pris en compte a été le classement du terrain par le plan d</w:t>
      </w:r>
      <w:r w:rsidR="00B62E11" w:rsidRPr="00B62E11">
        <w:rPr>
          <w:lang w:val="fr-FR"/>
        </w:rPr>
        <w:t>’</w:t>
      </w:r>
      <w:r w:rsidRPr="00B62E11">
        <w:rPr>
          <w:lang w:val="fr-FR"/>
        </w:rPr>
        <w:t>urbanisme de 1973, et aucune importance n</w:t>
      </w:r>
      <w:r w:rsidR="00B62E11" w:rsidRPr="00B62E11">
        <w:rPr>
          <w:lang w:val="fr-FR"/>
        </w:rPr>
        <w:t>’</w:t>
      </w:r>
      <w:r w:rsidRPr="00B62E11">
        <w:rPr>
          <w:lang w:val="fr-FR"/>
        </w:rPr>
        <w:t>a été attribuée aux développements ultérieurs tant sur le plan urbanistique que factuel.</w:t>
      </w:r>
    </w:p>
    <w:p w:rsidR="00B62E11" w:rsidRPr="00B62E11" w:rsidRDefault="007B2119" w:rsidP="00B62E11">
      <w:pPr>
        <w:pStyle w:val="ECHRPara"/>
        <w:rPr>
          <w:lang w:val="fr-FR"/>
        </w:rPr>
      </w:pPr>
      <w:r w:rsidRPr="00B62E11">
        <w:rPr>
          <w:lang w:val="fr-FR"/>
        </w:rPr>
        <w:t>Le requérant se félicite de l</w:t>
      </w:r>
      <w:r w:rsidR="00B62E11" w:rsidRPr="00B62E11">
        <w:rPr>
          <w:lang w:val="fr-FR"/>
        </w:rPr>
        <w:t>’</w:t>
      </w:r>
      <w:r w:rsidRPr="00B62E11">
        <w:rPr>
          <w:lang w:val="fr-FR"/>
        </w:rPr>
        <w:t>arrêt n</w:t>
      </w:r>
      <w:r w:rsidR="00865E22" w:rsidRPr="00B62E11">
        <w:rPr>
          <w:vertAlign w:val="superscript"/>
          <w:lang w:val="fr-FR"/>
        </w:rPr>
        <w:t>o</w:t>
      </w:r>
      <w:r w:rsidRPr="00B62E11">
        <w:rPr>
          <w:lang w:val="fr-FR"/>
        </w:rPr>
        <w:t xml:space="preserve"> 181 de 2011 de la Cour constitutionnelle, qui a déclaré contraire à la Constitution le mode de calcul de l</w:t>
      </w:r>
      <w:r w:rsidR="00B62E11" w:rsidRPr="00B62E11">
        <w:rPr>
          <w:lang w:val="fr-FR"/>
        </w:rPr>
        <w:t>’</w:t>
      </w:r>
      <w:r w:rsidRPr="00B62E11">
        <w:rPr>
          <w:lang w:val="fr-FR"/>
        </w:rPr>
        <w:t>indemnité d</w:t>
      </w:r>
      <w:r w:rsidR="00B62E11" w:rsidRPr="00B62E11">
        <w:rPr>
          <w:lang w:val="fr-FR"/>
        </w:rPr>
        <w:t>’</w:t>
      </w:r>
      <w:r w:rsidRPr="00B62E11">
        <w:rPr>
          <w:lang w:val="fr-FR"/>
        </w:rPr>
        <w:t>expropriation pour les terrains non classés comme constructibles, prévu par l</w:t>
      </w:r>
      <w:r w:rsidR="00B62E11" w:rsidRPr="00B62E11">
        <w:rPr>
          <w:lang w:val="fr-FR"/>
        </w:rPr>
        <w:t>’</w:t>
      </w:r>
      <w:r w:rsidRPr="00B62E11">
        <w:rPr>
          <w:lang w:val="fr-FR"/>
        </w:rPr>
        <w:t>article 5</w:t>
      </w:r>
      <w:r w:rsidRPr="00B62E11">
        <w:rPr>
          <w:i/>
          <w:lang w:val="fr-FR"/>
        </w:rPr>
        <w:t>bis</w:t>
      </w:r>
      <w:r w:rsidRPr="00B62E11">
        <w:rPr>
          <w:lang w:val="fr-FR"/>
        </w:rPr>
        <w:t xml:space="preserve"> de la loi n</w:t>
      </w:r>
      <w:r w:rsidR="00865E22" w:rsidRPr="00B62E11">
        <w:rPr>
          <w:vertAlign w:val="superscript"/>
          <w:lang w:val="fr-FR"/>
        </w:rPr>
        <w:t>o</w:t>
      </w:r>
      <w:r w:rsidRPr="00B62E11">
        <w:rPr>
          <w:lang w:val="fr-FR"/>
        </w:rPr>
        <w:t xml:space="preserve"> 359 de 1992. Il observe que toutefois il n</w:t>
      </w:r>
      <w:r w:rsidR="00B62E11" w:rsidRPr="00B62E11">
        <w:rPr>
          <w:lang w:val="fr-FR"/>
        </w:rPr>
        <w:t>’</w:t>
      </w:r>
      <w:r w:rsidRPr="00B62E11">
        <w:rPr>
          <w:lang w:val="fr-FR"/>
        </w:rPr>
        <w:t>a pu se prévaloir de cet arrêt, sa procédure étant déjà terminée en 2011.</w:t>
      </w:r>
    </w:p>
    <w:p w:rsidR="007B2119" w:rsidRPr="00B62E11" w:rsidRDefault="007B2119" w:rsidP="00B62E11">
      <w:pPr>
        <w:pStyle w:val="ECHRPara"/>
        <w:rPr>
          <w:lang w:val="fr-FR"/>
        </w:rPr>
      </w:pPr>
      <w:r w:rsidRPr="00B62E11">
        <w:rPr>
          <w:lang w:val="fr-FR"/>
        </w:rPr>
        <w:t>Le requérant déplore l</w:t>
      </w:r>
      <w:r w:rsidR="00B62E11" w:rsidRPr="00B62E11">
        <w:rPr>
          <w:lang w:val="fr-FR"/>
        </w:rPr>
        <w:t>’</w:t>
      </w:r>
      <w:r w:rsidRPr="00B62E11">
        <w:rPr>
          <w:lang w:val="fr-FR"/>
        </w:rPr>
        <w:t>attitude du Gouvernement qui, malgré l</w:t>
      </w:r>
      <w:r w:rsidR="00B62E11" w:rsidRPr="00B62E11">
        <w:rPr>
          <w:lang w:val="fr-FR"/>
        </w:rPr>
        <w:t>’</w:t>
      </w:r>
      <w:r w:rsidRPr="00B62E11">
        <w:rPr>
          <w:lang w:val="fr-FR"/>
        </w:rPr>
        <w:t>arrêt de la Cour constitutionnelle, réitère ses arguments selon lesquels le terrain doit être considéré et indemnisé comme étant un terrain agricole. Il demande à la Cour de prendre en compte le fait que, même au regard du droit interne, la situation dont il a souffert est désormais illégale. À cet égard, il observe que son voisin a pu utilement invoquer l</w:t>
      </w:r>
      <w:r w:rsidR="00B62E11" w:rsidRPr="00B62E11">
        <w:rPr>
          <w:lang w:val="fr-FR"/>
        </w:rPr>
        <w:t>’</w:t>
      </w:r>
      <w:r w:rsidRPr="00B62E11">
        <w:rPr>
          <w:lang w:val="fr-FR"/>
        </w:rPr>
        <w:t>arrêt de la Cour constitutionnelle devant les juridictions nationales et obtenir une nouvelle expertise d</w:t>
      </w:r>
      <w:r w:rsidR="00B62E11" w:rsidRPr="00B62E11">
        <w:rPr>
          <w:lang w:val="fr-FR"/>
        </w:rPr>
        <w:t>’</w:t>
      </w:r>
      <w:r w:rsidRPr="00B62E11">
        <w:rPr>
          <w:lang w:val="fr-FR"/>
        </w:rPr>
        <w:t>office, selon laquelle le terrain, compte tenu de ses caractéristiques réelles, qui sont les mêmes du terrain du requérant, valait 20,50 EUR par mètre carré au moment de l</w:t>
      </w:r>
      <w:r w:rsidR="00B62E11" w:rsidRPr="00B62E11">
        <w:rPr>
          <w:lang w:val="fr-FR"/>
        </w:rPr>
        <w:t>’</w:t>
      </w:r>
      <w:r w:rsidRPr="00B62E11">
        <w:rPr>
          <w:lang w:val="fr-FR"/>
        </w:rPr>
        <w:t>expropriation.</w:t>
      </w:r>
    </w:p>
    <w:p w:rsidR="00B62E11"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41</w:t>
      </w:r>
      <w:r w:rsidRPr="00B62E11">
        <w:rPr>
          <w:lang w:val="fr-FR"/>
        </w:rPr>
        <w:fldChar w:fldCharType="end"/>
      </w:r>
      <w:r w:rsidRPr="00B62E11">
        <w:rPr>
          <w:lang w:val="fr-FR"/>
        </w:rPr>
        <w:t>.  Le Gouvernement observe que l</w:t>
      </w:r>
      <w:r w:rsidR="00B62E11" w:rsidRPr="00B62E11">
        <w:rPr>
          <w:lang w:val="fr-FR"/>
        </w:rPr>
        <w:t>’</w:t>
      </w:r>
      <w:r w:rsidRPr="00B62E11">
        <w:rPr>
          <w:lang w:val="fr-FR"/>
        </w:rPr>
        <w:t>expropriation était conforme à la loi et répondait à un but légitime d</w:t>
      </w:r>
      <w:r w:rsidR="00B62E11" w:rsidRPr="00B62E11">
        <w:rPr>
          <w:lang w:val="fr-FR"/>
        </w:rPr>
        <w:t>’</w:t>
      </w:r>
      <w:r w:rsidRPr="00B62E11">
        <w:rPr>
          <w:lang w:val="fr-FR"/>
        </w:rPr>
        <w:t>utilité publique. Le seul point en discussion est celui relatif à l</w:t>
      </w:r>
      <w:r w:rsidR="00B62E11" w:rsidRPr="00B62E11">
        <w:rPr>
          <w:lang w:val="fr-FR"/>
        </w:rPr>
        <w:t>’</w:t>
      </w:r>
      <w:r w:rsidRPr="00B62E11">
        <w:rPr>
          <w:lang w:val="fr-FR"/>
        </w:rPr>
        <w:t>indemnité d</w:t>
      </w:r>
      <w:r w:rsidR="00B62E11" w:rsidRPr="00B62E11">
        <w:rPr>
          <w:lang w:val="fr-FR"/>
        </w:rPr>
        <w:t>’</w:t>
      </w:r>
      <w:r w:rsidRPr="00B62E11">
        <w:rPr>
          <w:lang w:val="fr-FR"/>
        </w:rPr>
        <w:t>expropriation. Or, la question de l</w:t>
      </w:r>
      <w:r w:rsidR="00B62E11" w:rsidRPr="00B62E11">
        <w:rPr>
          <w:lang w:val="fr-FR"/>
        </w:rPr>
        <w:t>’</w:t>
      </w:r>
      <w:r w:rsidRPr="00B62E11">
        <w:rPr>
          <w:lang w:val="fr-FR"/>
        </w:rPr>
        <w:t>indemnisation rentre dans la marge d</w:t>
      </w:r>
      <w:r w:rsidR="00B62E11" w:rsidRPr="00B62E11">
        <w:rPr>
          <w:lang w:val="fr-FR"/>
        </w:rPr>
        <w:t>’</w:t>
      </w:r>
      <w:r w:rsidRPr="00B62E11">
        <w:rPr>
          <w:lang w:val="fr-FR"/>
        </w:rPr>
        <w:t>appréciation des États, et la Cour n</w:t>
      </w:r>
      <w:r w:rsidR="00B62E11" w:rsidRPr="00B62E11">
        <w:rPr>
          <w:lang w:val="fr-FR"/>
        </w:rPr>
        <w:t>’</w:t>
      </w:r>
      <w:r w:rsidRPr="00B62E11">
        <w:rPr>
          <w:lang w:val="fr-FR"/>
        </w:rPr>
        <w:t>est pas compétente pour déterminer la nature du terrain litigieux et remettre en cause le classement urbanistique du bien.</w:t>
      </w:r>
    </w:p>
    <w:p w:rsidR="007B2119" w:rsidRPr="00B62E11" w:rsidRDefault="007B2119" w:rsidP="00B62E11">
      <w:pPr>
        <w:pStyle w:val="ECHRPara"/>
        <w:rPr>
          <w:lang w:val="fr-FR"/>
        </w:rPr>
      </w:pPr>
      <w:r w:rsidRPr="00B62E11">
        <w:rPr>
          <w:lang w:val="fr-FR"/>
        </w:rPr>
        <w:t>Selon le Gouvernement, les juridictions nationales ont, à juste titre, indemnisé le terrain comme un terrain agricole, sans prendre en compte les caractéristiques réelles du terrain. Il demande à la Cour de baser son raisonnement, y compris aux fins de la satisfaction équitable, sur le fait que le terrain est classé comme agricole par le plan d</w:t>
      </w:r>
      <w:r w:rsidR="00B62E11" w:rsidRPr="00B62E11">
        <w:rPr>
          <w:lang w:val="fr-FR"/>
        </w:rPr>
        <w:t>’</w:t>
      </w:r>
      <w:r w:rsidRPr="00B62E11">
        <w:rPr>
          <w:lang w:val="fr-FR"/>
        </w:rPr>
        <w:t>urbanisme. Il n</w:t>
      </w:r>
      <w:r w:rsidR="00B62E11" w:rsidRPr="00B62E11">
        <w:rPr>
          <w:lang w:val="fr-FR"/>
        </w:rPr>
        <w:t>’</w:t>
      </w:r>
      <w:r w:rsidRPr="00B62E11">
        <w:rPr>
          <w:lang w:val="fr-FR"/>
        </w:rPr>
        <w:t>est donc pas question d</w:t>
      </w:r>
      <w:r w:rsidR="00B62E11" w:rsidRPr="00B62E11">
        <w:rPr>
          <w:lang w:val="fr-FR"/>
        </w:rPr>
        <w:t>’</w:t>
      </w:r>
      <w:r w:rsidRPr="00B62E11">
        <w:rPr>
          <w:lang w:val="fr-FR"/>
        </w:rPr>
        <w:t>indemniser le terrain en tenant compte de sa vocation à être édifié, et les constructions érigées par l</w:t>
      </w:r>
      <w:r w:rsidR="00B62E11" w:rsidRPr="00B62E11">
        <w:rPr>
          <w:lang w:val="fr-FR"/>
        </w:rPr>
        <w:t>’</w:t>
      </w:r>
      <w:r w:rsidRPr="00B62E11">
        <w:rPr>
          <w:lang w:val="fr-FR"/>
        </w:rPr>
        <w:t>administration publique ne peuvent jouer aucun rôle. A l</w:t>
      </w:r>
      <w:r w:rsidR="00B62E11" w:rsidRPr="00B62E11">
        <w:rPr>
          <w:lang w:val="fr-FR"/>
        </w:rPr>
        <w:t>’</w:t>
      </w:r>
      <w:r w:rsidRPr="00B62E11">
        <w:rPr>
          <w:lang w:val="fr-FR"/>
        </w:rPr>
        <w:t>appui de sa thèse, le Gouvernement a déposé un avis émanant de l</w:t>
      </w:r>
      <w:r w:rsidR="00B62E11" w:rsidRPr="00B62E11">
        <w:rPr>
          <w:lang w:val="fr-FR"/>
        </w:rPr>
        <w:t>’</w:t>
      </w:r>
      <w:r w:rsidRPr="00B62E11">
        <w:rPr>
          <w:lang w:val="fr-FR"/>
        </w:rPr>
        <w:t>administration publique (</w:t>
      </w:r>
      <w:r w:rsidRPr="00B62E11">
        <w:rPr>
          <w:i/>
          <w:lang w:val="fr-FR"/>
        </w:rPr>
        <w:t>Agenzia delle entrate</w:t>
      </w:r>
      <w:r w:rsidRPr="00B62E11">
        <w:rPr>
          <w:lang w:val="fr-FR"/>
        </w:rPr>
        <w:t xml:space="preserve">), selon lequel le </w:t>
      </w:r>
      <w:r w:rsidRPr="00B62E11">
        <w:rPr>
          <w:lang w:val="fr-FR"/>
        </w:rPr>
        <w:lastRenderedPageBreak/>
        <w:t>requérant aurait dû percevoir 38 000 EUR en plus de la somme perçue au titre d</w:t>
      </w:r>
      <w:r w:rsidR="00B62E11" w:rsidRPr="00B62E11">
        <w:rPr>
          <w:lang w:val="fr-FR"/>
        </w:rPr>
        <w:t>’</w:t>
      </w:r>
      <w:r w:rsidRPr="00B62E11">
        <w:rPr>
          <w:lang w:val="fr-FR"/>
        </w:rPr>
        <w:t>indemnité d</w:t>
      </w:r>
      <w:r w:rsidR="00B62E11" w:rsidRPr="00B62E11">
        <w:rPr>
          <w:lang w:val="fr-FR"/>
        </w:rPr>
        <w:t>’</w:t>
      </w:r>
      <w:r w:rsidRPr="00B62E11">
        <w:rPr>
          <w:lang w:val="fr-FR"/>
        </w:rPr>
        <w:t>expropriation, étant donné qu</w:t>
      </w:r>
      <w:r w:rsidR="00B62E11" w:rsidRPr="00B62E11">
        <w:rPr>
          <w:lang w:val="fr-FR"/>
        </w:rPr>
        <w:t>’</w:t>
      </w:r>
      <w:r w:rsidRPr="00B62E11">
        <w:rPr>
          <w:lang w:val="fr-FR"/>
        </w:rPr>
        <w:t>il s</w:t>
      </w:r>
      <w:r w:rsidR="00B62E11" w:rsidRPr="00B62E11">
        <w:rPr>
          <w:lang w:val="fr-FR"/>
        </w:rPr>
        <w:t>’</w:t>
      </w:r>
      <w:r w:rsidRPr="00B62E11">
        <w:rPr>
          <w:lang w:val="fr-FR"/>
        </w:rPr>
        <w:t>agit d</w:t>
      </w:r>
      <w:r w:rsidR="00B62E11" w:rsidRPr="00B62E11">
        <w:rPr>
          <w:lang w:val="fr-FR"/>
        </w:rPr>
        <w:t>’</w:t>
      </w:r>
      <w:r w:rsidRPr="00B62E11">
        <w:rPr>
          <w:lang w:val="fr-FR"/>
        </w:rPr>
        <w:t>un terrain agricole. Pour déterminer la valeur probable du terrain litigieux au moment de l</w:t>
      </w:r>
      <w:r w:rsidR="00B62E11" w:rsidRPr="00B62E11">
        <w:rPr>
          <w:lang w:val="fr-FR"/>
        </w:rPr>
        <w:t>’</w:t>
      </w:r>
      <w:r w:rsidRPr="00B62E11">
        <w:rPr>
          <w:lang w:val="fr-FR"/>
        </w:rPr>
        <w:t>expropriation, il serait dès lors inopportun de prendre en compte les expertises d</w:t>
      </w:r>
      <w:r w:rsidR="00B62E11" w:rsidRPr="00B62E11">
        <w:rPr>
          <w:lang w:val="fr-FR"/>
        </w:rPr>
        <w:t>’</w:t>
      </w:r>
      <w:r w:rsidRPr="00B62E11">
        <w:rPr>
          <w:lang w:val="fr-FR"/>
        </w:rPr>
        <w:t>office ordonnées dans la procédure du requérant ou l</w:t>
      </w:r>
      <w:r w:rsidR="00B62E11" w:rsidRPr="00B62E11">
        <w:rPr>
          <w:lang w:val="fr-FR"/>
        </w:rPr>
        <w:t>’</w:t>
      </w:r>
      <w:r w:rsidRPr="00B62E11">
        <w:rPr>
          <w:lang w:val="fr-FR"/>
        </w:rPr>
        <w:t>expertise d</w:t>
      </w:r>
      <w:r w:rsidR="00B62E11" w:rsidRPr="00B62E11">
        <w:rPr>
          <w:lang w:val="fr-FR"/>
        </w:rPr>
        <w:t>’</w:t>
      </w:r>
      <w:r w:rsidRPr="00B62E11">
        <w:rPr>
          <w:lang w:val="fr-FR"/>
        </w:rPr>
        <w:t>office effectuée sur le fond du voisin, la procédure relative à ce dernier étant en plus encore pendante.</w:t>
      </w:r>
    </w:p>
    <w:p w:rsidR="007B2119" w:rsidRPr="00B62E11" w:rsidRDefault="007B2119" w:rsidP="00B62E11">
      <w:pPr>
        <w:pStyle w:val="ECHRHeading3"/>
        <w:rPr>
          <w:lang w:val="fr-FR"/>
        </w:rPr>
      </w:pPr>
      <w:r w:rsidRPr="00B62E11">
        <w:rPr>
          <w:lang w:val="fr-FR"/>
        </w:rPr>
        <w:t>2</w:t>
      </w:r>
      <w:r w:rsidR="00865E22" w:rsidRPr="00B62E11">
        <w:rPr>
          <w:lang w:val="fr-FR"/>
        </w:rPr>
        <w:t>.  </w:t>
      </w:r>
      <w:r w:rsidRPr="00B62E11">
        <w:rPr>
          <w:lang w:val="fr-FR"/>
        </w:rPr>
        <w:t>Appréciation de la Cour</w:t>
      </w:r>
    </w:p>
    <w:p w:rsidR="007B2119" w:rsidRPr="00B62E11" w:rsidRDefault="007B2119" w:rsidP="00B62E11">
      <w:pPr>
        <w:pStyle w:val="ECHRPara"/>
        <w:rPr>
          <w:lang w:val="fr-FR"/>
        </w:rPr>
      </w:pPr>
      <w:r w:rsidRPr="00B62E11">
        <w:rPr>
          <w:lang w:val="fr-FR" w:eastAsia="en-GB"/>
        </w:rPr>
        <w:fldChar w:fldCharType="begin"/>
      </w:r>
      <w:r w:rsidRPr="00B62E11">
        <w:rPr>
          <w:lang w:val="fr-FR" w:eastAsia="en-GB"/>
        </w:rPr>
        <w:instrText xml:space="preserve"> SEQ level0 \*arabic </w:instrText>
      </w:r>
      <w:r w:rsidRPr="00B62E11">
        <w:rPr>
          <w:lang w:val="fr-FR" w:eastAsia="en-GB"/>
        </w:rPr>
        <w:fldChar w:fldCharType="separate"/>
      </w:r>
      <w:r w:rsidR="00B62E11" w:rsidRPr="00B62E11">
        <w:rPr>
          <w:noProof/>
          <w:lang w:val="fr-FR" w:eastAsia="en-GB"/>
        </w:rPr>
        <w:t>42</w:t>
      </w:r>
      <w:r w:rsidRPr="00B62E11">
        <w:rPr>
          <w:lang w:val="fr-FR" w:eastAsia="en-GB"/>
        </w:rPr>
        <w:fldChar w:fldCharType="end"/>
      </w:r>
      <w:r w:rsidRPr="00B62E11">
        <w:rPr>
          <w:lang w:val="fr-FR" w:eastAsia="en-GB"/>
        </w:rPr>
        <w:t>.  La Cour constate tout d</w:t>
      </w:r>
      <w:r w:rsidR="00B62E11" w:rsidRPr="00B62E11">
        <w:rPr>
          <w:lang w:val="fr-FR" w:eastAsia="en-GB"/>
        </w:rPr>
        <w:t>’</w:t>
      </w:r>
      <w:r w:rsidRPr="00B62E11">
        <w:rPr>
          <w:lang w:val="fr-FR" w:eastAsia="en-GB"/>
        </w:rPr>
        <w:t>abord que l</w:t>
      </w:r>
      <w:r w:rsidRPr="00B62E11">
        <w:rPr>
          <w:lang w:val="fr-FR"/>
        </w:rPr>
        <w:t>es parties s</w:t>
      </w:r>
      <w:r w:rsidR="00B62E11" w:rsidRPr="00B62E11">
        <w:rPr>
          <w:lang w:val="fr-FR"/>
        </w:rPr>
        <w:t>’</w:t>
      </w:r>
      <w:r w:rsidRPr="00B62E11">
        <w:rPr>
          <w:lang w:val="fr-FR"/>
        </w:rPr>
        <w:t>accordent pour dire qu</w:t>
      </w:r>
      <w:r w:rsidR="00B62E11" w:rsidRPr="00B62E11">
        <w:rPr>
          <w:lang w:val="fr-FR"/>
        </w:rPr>
        <w:t>’</w:t>
      </w:r>
      <w:r w:rsidRPr="00B62E11">
        <w:rPr>
          <w:lang w:val="fr-FR"/>
        </w:rPr>
        <w:t>il y a eu « privation des biens » au sens de la deuxième phrase du premier alinéa de l</w:t>
      </w:r>
      <w:r w:rsidR="00B62E11" w:rsidRPr="00B62E11">
        <w:rPr>
          <w:lang w:val="fr-FR"/>
        </w:rPr>
        <w:t>’</w:t>
      </w:r>
      <w:r w:rsidRPr="00B62E11">
        <w:rPr>
          <w:lang w:val="fr-FR"/>
        </w:rPr>
        <w:t>article 1 du Protocole</w:t>
      </w:r>
      <w:r w:rsidR="00865E22" w:rsidRPr="00B62E11">
        <w:rPr>
          <w:lang w:val="fr-FR"/>
        </w:rPr>
        <w:t xml:space="preserve"> </w:t>
      </w:r>
      <w:r w:rsidRPr="00B62E11">
        <w:rPr>
          <w:lang w:val="fr-FR"/>
        </w:rPr>
        <w:t>n</w:t>
      </w:r>
      <w:r w:rsidRPr="00B62E11">
        <w:rPr>
          <w:vertAlign w:val="superscript"/>
          <w:lang w:val="fr-FR"/>
        </w:rPr>
        <w:t>o</w:t>
      </w:r>
      <w:r w:rsidRPr="00B62E11">
        <w:rPr>
          <w:lang w:val="fr-FR"/>
        </w:rPr>
        <w:t xml:space="preserve"> 1.</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43</w:t>
      </w:r>
      <w:r w:rsidRPr="00B62E11">
        <w:rPr>
          <w:lang w:val="fr-FR"/>
        </w:rPr>
        <w:fldChar w:fldCharType="end"/>
      </w:r>
      <w:r w:rsidRPr="00B62E11">
        <w:rPr>
          <w:lang w:val="fr-FR"/>
        </w:rPr>
        <w:t>.  Comme elle l</w:t>
      </w:r>
      <w:r w:rsidR="00B62E11" w:rsidRPr="00B62E11">
        <w:rPr>
          <w:lang w:val="fr-FR"/>
        </w:rPr>
        <w:t>’</w:t>
      </w:r>
      <w:r w:rsidRPr="00B62E11">
        <w:rPr>
          <w:lang w:val="fr-FR"/>
        </w:rPr>
        <w:t>a précisé à plusieurs reprises, la Cour rappelle que l</w:t>
      </w:r>
      <w:r w:rsidR="00B62E11" w:rsidRPr="00B62E11">
        <w:rPr>
          <w:lang w:val="fr-FR"/>
        </w:rPr>
        <w:t>’</w:t>
      </w:r>
      <w:r w:rsidRPr="00B62E11">
        <w:rPr>
          <w:lang w:val="fr-FR"/>
        </w:rPr>
        <w:t>article 1 du Protocole n</w:t>
      </w:r>
      <w:r w:rsidRPr="00B62E11">
        <w:rPr>
          <w:vertAlign w:val="superscript"/>
          <w:lang w:val="fr-FR"/>
        </w:rPr>
        <w:t>o</w:t>
      </w:r>
      <w:r w:rsidRPr="00B62E11">
        <w:rPr>
          <w:lang w:val="fr-FR"/>
        </w:rPr>
        <w:t xml:space="preserve"> 1 contient trois normes distinctes : « la première, qui s</w:t>
      </w:r>
      <w:r w:rsidR="00B62E11" w:rsidRPr="00B62E11">
        <w:rPr>
          <w:lang w:val="fr-FR"/>
        </w:rPr>
        <w:t>’</w:t>
      </w:r>
      <w:r w:rsidRPr="00B62E11">
        <w:rPr>
          <w:lang w:val="fr-FR"/>
        </w:rPr>
        <w:t>exprime dans la première phrase du premier alinéa et revêt un caractère général, énonce le principe du respect de la propriété ; la deuxième, figurant dans la seconde phrase du même alinéa, vise la privation de propriété et la soumet à certaines conditions ; quant à la troisième, consignée dans le second alinéa, elle reconnaît aux États le pouvoir, entre autres, de réglementer l</w:t>
      </w:r>
      <w:r w:rsidR="00B62E11" w:rsidRPr="00B62E11">
        <w:rPr>
          <w:lang w:val="fr-FR"/>
        </w:rPr>
        <w:t>’</w:t>
      </w:r>
      <w:r w:rsidRPr="00B62E11">
        <w:rPr>
          <w:lang w:val="fr-FR"/>
        </w:rPr>
        <w:t>usage des biens conformément à l</w:t>
      </w:r>
      <w:r w:rsidR="00B62E11" w:rsidRPr="00B62E11">
        <w:rPr>
          <w:lang w:val="fr-FR"/>
        </w:rPr>
        <w:t>’</w:t>
      </w:r>
      <w:r w:rsidRPr="00B62E11">
        <w:rPr>
          <w:lang w:val="fr-FR"/>
        </w:rPr>
        <w:t>intérêt général (...). Il ne s</w:t>
      </w:r>
      <w:r w:rsidR="00B62E11" w:rsidRPr="00B62E11">
        <w:rPr>
          <w:lang w:val="fr-FR"/>
        </w:rPr>
        <w:t>’</w:t>
      </w:r>
      <w:r w:rsidRPr="00B62E11">
        <w:rPr>
          <w:lang w:val="fr-FR"/>
        </w:rPr>
        <w:t>agit pas pour autant de règles dépourvues de rapport entre elles. La deuxième et la troisième ont trait à des exemples particuliers d</w:t>
      </w:r>
      <w:r w:rsidR="00B62E11" w:rsidRPr="00B62E11">
        <w:rPr>
          <w:lang w:val="fr-FR"/>
        </w:rPr>
        <w:t>’</w:t>
      </w:r>
      <w:r w:rsidRPr="00B62E11">
        <w:rPr>
          <w:lang w:val="fr-FR"/>
        </w:rPr>
        <w:t>atteintes au droit de propriété ; dès lors, elles doivent s</w:t>
      </w:r>
      <w:r w:rsidR="00B62E11" w:rsidRPr="00B62E11">
        <w:rPr>
          <w:lang w:val="fr-FR"/>
        </w:rPr>
        <w:t>’</w:t>
      </w:r>
      <w:r w:rsidRPr="00B62E11">
        <w:rPr>
          <w:lang w:val="fr-FR"/>
        </w:rPr>
        <w:t>interpréter à la lumière du principe consacré par la première » (voir, entre autres, l</w:t>
      </w:r>
      <w:r w:rsidR="00B62E11" w:rsidRPr="00B62E11">
        <w:rPr>
          <w:lang w:val="fr-FR"/>
        </w:rPr>
        <w:t>’</w:t>
      </w:r>
      <w:r w:rsidRPr="00B62E11">
        <w:rPr>
          <w:lang w:val="fr-FR"/>
        </w:rPr>
        <w:t xml:space="preserve">arrêt </w:t>
      </w:r>
      <w:r w:rsidRPr="00B62E11">
        <w:rPr>
          <w:i/>
          <w:lang w:val="fr-FR"/>
        </w:rPr>
        <w:t>James et autres c. Royaume-Uni</w:t>
      </w:r>
      <w:r w:rsidRPr="00B62E11">
        <w:rPr>
          <w:lang w:val="fr-FR"/>
        </w:rPr>
        <w:t xml:space="preserve">, </w:t>
      </w:r>
      <w:r w:rsidR="00865E22" w:rsidRPr="00B62E11">
        <w:rPr>
          <w:lang w:val="fr-FR"/>
        </w:rPr>
        <w:t>21 février 1986, § 37, série A n</w:t>
      </w:r>
      <w:r w:rsidR="00865E22" w:rsidRPr="00B62E11">
        <w:rPr>
          <w:vertAlign w:val="superscript"/>
          <w:lang w:val="fr-FR"/>
        </w:rPr>
        <w:t>o</w:t>
      </w:r>
      <w:r w:rsidR="00865E22" w:rsidRPr="00B62E11">
        <w:rPr>
          <w:lang w:val="fr-FR"/>
        </w:rPr>
        <w:t xml:space="preserve"> 98</w:t>
      </w:r>
      <w:r w:rsidRPr="00B62E11">
        <w:rPr>
          <w:lang w:val="fr-FR"/>
        </w:rPr>
        <w:t>, lequel reprend en partie les termes de l</w:t>
      </w:r>
      <w:r w:rsidR="00B62E11" w:rsidRPr="00B62E11">
        <w:rPr>
          <w:lang w:val="fr-FR"/>
        </w:rPr>
        <w:t>’</w:t>
      </w:r>
      <w:r w:rsidRPr="00B62E11">
        <w:rPr>
          <w:lang w:val="fr-FR"/>
        </w:rPr>
        <w:t xml:space="preserve">analyse que la Cour a développée dans son arrêt </w:t>
      </w:r>
      <w:r w:rsidRPr="00B62E11">
        <w:rPr>
          <w:i/>
          <w:lang w:val="fr-FR"/>
        </w:rPr>
        <w:t>Sporrong et Lönnroth c. Suède</w:t>
      </w:r>
      <w:r w:rsidRPr="00B62E11">
        <w:rPr>
          <w:lang w:val="fr-FR"/>
        </w:rPr>
        <w:t xml:space="preserve">, 23 septembre 1982, </w:t>
      </w:r>
      <w:r w:rsidR="00865E22" w:rsidRPr="00B62E11">
        <w:rPr>
          <w:lang w:val="fr-FR"/>
        </w:rPr>
        <w:t xml:space="preserve">§ 61, </w:t>
      </w:r>
      <w:r w:rsidRPr="00B62E11">
        <w:rPr>
          <w:lang w:val="fr-FR"/>
        </w:rPr>
        <w:t>série A n</w:t>
      </w:r>
      <w:r w:rsidRPr="00B62E11">
        <w:rPr>
          <w:vertAlign w:val="superscript"/>
          <w:lang w:val="fr-FR"/>
        </w:rPr>
        <w:t>o</w:t>
      </w:r>
      <w:r w:rsidRPr="00B62E11">
        <w:rPr>
          <w:lang w:val="fr-FR"/>
        </w:rPr>
        <w:t> 52, p.</w:t>
      </w:r>
      <w:r w:rsidR="00865E22" w:rsidRPr="00B62E11">
        <w:rPr>
          <w:lang w:val="fr-FR"/>
        </w:rPr>
        <w:t> </w:t>
      </w:r>
      <w:r w:rsidRPr="00B62E11">
        <w:rPr>
          <w:lang w:val="fr-FR"/>
        </w:rPr>
        <w:t xml:space="preserve">24 ; voir aussi les arrêts </w:t>
      </w:r>
      <w:r w:rsidRPr="00B62E11">
        <w:rPr>
          <w:i/>
          <w:lang w:val="fr-FR"/>
        </w:rPr>
        <w:t>Les Saints Monastères c. Grèce</w:t>
      </w:r>
      <w:r w:rsidRPr="00B62E11">
        <w:rPr>
          <w:lang w:val="fr-FR"/>
        </w:rPr>
        <w:t xml:space="preserve">, 9 décembre 1994, </w:t>
      </w:r>
      <w:r w:rsidR="00865E22" w:rsidRPr="00B62E11">
        <w:rPr>
          <w:lang w:val="fr-FR"/>
        </w:rPr>
        <w:t xml:space="preserve">§ 56, </w:t>
      </w:r>
      <w:r w:rsidRPr="00B62E11">
        <w:rPr>
          <w:lang w:val="fr-FR"/>
        </w:rPr>
        <w:t>série A n</w:t>
      </w:r>
      <w:r w:rsidRPr="00B62E11">
        <w:rPr>
          <w:vertAlign w:val="superscript"/>
          <w:lang w:val="fr-FR"/>
        </w:rPr>
        <w:t>o</w:t>
      </w:r>
      <w:r w:rsidR="00865E22" w:rsidRPr="00B62E11">
        <w:rPr>
          <w:lang w:val="fr-FR"/>
        </w:rPr>
        <w:t xml:space="preserve"> 301-A, p. 31</w:t>
      </w:r>
      <w:r w:rsidRPr="00B62E11">
        <w:rPr>
          <w:lang w:val="fr-FR"/>
        </w:rPr>
        <w:t xml:space="preserve">, </w:t>
      </w:r>
      <w:r w:rsidRPr="00B62E11">
        <w:rPr>
          <w:i/>
          <w:lang w:val="fr-FR"/>
        </w:rPr>
        <w:t>Iatridis c. Grèce</w:t>
      </w:r>
      <w:r w:rsidRPr="00B62E11">
        <w:rPr>
          <w:lang w:val="fr-FR"/>
        </w:rPr>
        <w:t xml:space="preserve"> [GC], n</w:t>
      </w:r>
      <w:r w:rsidRPr="00B62E11">
        <w:rPr>
          <w:vertAlign w:val="superscript"/>
          <w:lang w:val="fr-FR"/>
        </w:rPr>
        <w:t>o</w:t>
      </w:r>
      <w:r w:rsidRPr="00B62E11">
        <w:rPr>
          <w:lang w:val="fr-FR"/>
        </w:rPr>
        <w:t> 31107/96, §</w:t>
      </w:r>
      <w:r w:rsidR="00865E22" w:rsidRPr="00B62E11">
        <w:rPr>
          <w:lang w:val="fr-FR"/>
        </w:rPr>
        <w:t> </w:t>
      </w:r>
      <w:r w:rsidRPr="00B62E11">
        <w:rPr>
          <w:lang w:val="fr-FR"/>
        </w:rPr>
        <w:t xml:space="preserve">55, CEDH 1999-II, et </w:t>
      </w:r>
      <w:r w:rsidRPr="00B62E11">
        <w:rPr>
          <w:i/>
          <w:lang w:val="fr-FR"/>
        </w:rPr>
        <w:t>Beyeler c. Italie</w:t>
      </w:r>
      <w:r w:rsidRPr="00B62E11">
        <w:rPr>
          <w:lang w:val="fr-FR"/>
        </w:rPr>
        <w:t xml:space="preserve"> [GC], n</w:t>
      </w:r>
      <w:r w:rsidRPr="00B62E11">
        <w:rPr>
          <w:vertAlign w:val="superscript"/>
          <w:lang w:val="fr-FR"/>
        </w:rPr>
        <w:t>o</w:t>
      </w:r>
      <w:r w:rsidR="00B62E11" w:rsidRPr="00B62E11">
        <w:rPr>
          <w:lang w:val="fr-FR"/>
        </w:rPr>
        <w:t xml:space="preserve"> 33202/96, § 106, CEDH 2000</w:t>
      </w:r>
      <w:r w:rsidR="00B62E11" w:rsidRPr="00B62E11">
        <w:rPr>
          <w:lang w:val="fr-FR"/>
        </w:rPr>
        <w:noBreakHyphen/>
      </w:r>
      <w:r w:rsidRPr="00B62E11">
        <w:rPr>
          <w:lang w:val="fr-FR"/>
        </w:rPr>
        <w:t>I).</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44</w:t>
      </w:r>
      <w:r w:rsidRPr="00B62E11">
        <w:rPr>
          <w:lang w:val="fr-FR"/>
        </w:rPr>
        <w:fldChar w:fldCharType="end"/>
      </w:r>
      <w:r w:rsidRPr="00B62E11">
        <w:rPr>
          <w:lang w:val="fr-FR"/>
        </w:rPr>
        <w:t>.  Une mesure d</w:t>
      </w:r>
      <w:r w:rsidR="00B62E11" w:rsidRPr="00B62E11">
        <w:rPr>
          <w:lang w:val="fr-FR"/>
        </w:rPr>
        <w:t>’</w:t>
      </w:r>
      <w:r w:rsidRPr="00B62E11">
        <w:rPr>
          <w:lang w:val="fr-FR"/>
        </w:rPr>
        <w:t>ingérence dans le droit au respect des biens doit ménager un « juste équilibre » entre les exigences de l</w:t>
      </w:r>
      <w:r w:rsidR="00B62E11" w:rsidRPr="00B62E11">
        <w:rPr>
          <w:lang w:val="fr-FR"/>
        </w:rPr>
        <w:t>’</w:t>
      </w:r>
      <w:r w:rsidRPr="00B62E11">
        <w:rPr>
          <w:lang w:val="fr-FR"/>
        </w:rPr>
        <w:t>intérêt général de la communauté et les impératifs de la sauvegarde des droits fondamentaux de l</w:t>
      </w:r>
      <w:r w:rsidR="00B62E11" w:rsidRPr="00B62E11">
        <w:rPr>
          <w:lang w:val="fr-FR"/>
        </w:rPr>
        <w:t>’</w:t>
      </w:r>
      <w:r w:rsidRPr="00B62E11">
        <w:rPr>
          <w:lang w:val="fr-FR"/>
        </w:rPr>
        <w:t>individu (voir, parmi d</w:t>
      </w:r>
      <w:r w:rsidR="00B62E11" w:rsidRPr="00B62E11">
        <w:rPr>
          <w:lang w:val="fr-FR"/>
        </w:rPr>
        <w:t>’</w:t>
      </w:r>
      <w:r w:rsidRPr="00B62E11">
        <w:rPr>
          <w:lang w:val="fr-FR"/>
        </w:rPr>
        <w:t xml:space="preserve">autres, </w:t>
      </w:r>
      <w:r w:rsidRPr="00B62E11">
        <w:rPr>
          <w:i/>
          <w:lang w:val="fr-FR"/>
        </w:rPr>
        <w:t>Sporrong et Lönnroth</w:t>
      </w:r>
      <w:r w:rsidRPr="00B62E11">
        <w:rPr>
          <w:lang w:val="fr-FR"/>
        </w:rPr>
        <w:t xml:space="preserve">, précité, </w:t>
      </w:r>
      <w:r w:rsidR="00865E22" w:rsidRPr="00B62E11">
        <w:rPr>
          <w:lang w:val="fr-FR"/>
        </w:rPr>
        <w:t xml:space="preserve">§ 69, </w:t>
      </w:r>
      <w:r w:rsidRPr="00B62E11">
        <w:rPr>
          <w:lang w:val="fr-FR"/>
        </w:rPr>
        <w:t>p. 26). Le souci d</w:t>
      </w:r>
      <w:r w:rsidR="00B62E11" w:rsidRPr="00B62E11">
        <w:rPr>
          <w:lang w:val="fr-FR"/>
        </w:rPr>
        <w:t>’</w:t>
      </w:r>
      <w:r w:rsidRPr="00B62E11">
        <w:rPr>
          <w:lang w:val="fr-FR"/>
        </w:rPr>
        <w:t>assurer un tel équilibre se reflète dans la structure de l</w:t>
      </w:r>
      <w:r w:rsidR="00B62E11" w:rsidRPr="00B62E11">
        <w:rPr>
          <w:lang w:val="fr-FR"/>
        </w:rPr>
        <w:t>’</w:t>
      </w:r>
      <w:r w:rsidRPr="00B62E11">
        <w:rPr>
          <w:lang w:val="fr-FR"/>
        </w:rPr>
        <w:t>article 1 du Protocole n</w:t>
      </w:r>
      <w:r w:rsidRPr="00B62E11">
        <w:rPr>
          <w:vertAlign w:val="superscript"/>
          <w:lang w:val="fr-FR"/>
        </w:rPr>
        <w:t>o</w:t>
      </w:r>
      <w:r w:rsidRPr="00B62E11">
        <w:rPr>
          <w:lang w:val="fr-FR"/>
        </w:rPr>
        <w:t xml:space="preserve"> 1 tout entier, donc aussi dans la seconde phrase, qui doit se lire à la lumière du principe consacré par la première. En particulier, il doit exister un rapport raisonnable de proportionnalité entre les moyens employés et le but visé par toute mesure appliquée par l</w:t>
      </w:r>
      <w:r w:rsidR="00B62E11" w:rsidRPr="00B62E11">
        <w:rPr>
          <w:lang w:val="fr-FR"/>
        </w:rPr>
        <w:t>’</w:t>
      </w:r>
      <w:r w:rsidRPr="00B62E11">
        <w:rPr>
          <w:lang w:val="fr-FR"/>
        </w:rPr>
        <w:t>État, y compris les mesures privant une personne de sa propriété (</w:t>
      </w:r>
      <w:r w:rsidRPr="00B62E11">
        <w:rPr>
          <w:i/>
          <w:lang w:val="fr-FR"/>
        </w:rPr>
        <w:t>Pressos Compania Naviera S.A. et autres c. Belgique</w:t>
      </w:r>
      <w:r w:rsidRPr="00B62E11">
        <w:rPr>
          <w:lang w:val="fr-FR"/>
        </w:rPr>
        <w:t xml:space="preserve">, 20 novembre 1995, </w:t>
      </w:r>
      <w:r w:rsidR="00865E22" w:rsidRPr="00B62E11">
        <w:rPr>
          <w:lang w:val="fr-FR"/>
        </w:rPr>
        <w:t xml:space="preserve">§ 38, </w:t>
      </w:r>
      <w:r w:rsidRPr="00B62E11">
        <w:rPr>
          <w:lang w:val="fr-FR"/>
        </w:rPr>
        <w:t>série A n</w:t>
      </w:r>
      <w:r w:rsidRPr="00B62E11">
        <w:rPr>
          <w:vertAlign w:val="superscript"/>
          <w:lang w:val="fr-FR"/>
        </w:rPr>
        <w:t>o</w:t>
      </w:r>
      <w:r w:rsidRPr="00B62E11">
        <w:rPr>
          <w:lang w:val="fr-FR"/>
        </w:rPr>
        <w:t xml:space="preserve"> 332, p. 23</w:t>
      </w:r>
      <w:r w:rsidR="00865E22" w:rsidRPr="00B62E11">
        <w:rPr>
          <w:lang w:val="fr-FR"/>
        </w:rPr>
        <w:t> </w:t>
      </w:r>
      <w:r w:rsidRPr="00B62E11">
        <w:rPr>
          <w:lang w:val="fr-FR"/>
        </w:rPr>
        <w:t xml:space="preserve">; </w:t>
      </w:r>
      <w:r w:rsidRPr="00B62E11">
        <w:rPr>
          <w:i/>
          <w:lang w:val="fr-FR"/>
        </w:rPr>
        <w:t>Ex-roi de Grèce et autres c. Grèce</w:t>
      </w:r>
      <w:r w:rsidRPr="00B62E11">
        <w:rPr>
          <w:lang w:val="fr-FR"/>
        </w:rPr>
        <w:t xml:space="preserve"> [GC], n</w:t>
      </w:r>
      <w:r w:rsidRPr="00B62E11">
        <w:rPr>
          <w:vertAlign w:val="superscript"/>
          <w:lang w:val="fr-FR"/>
        </w:rPr>
        <w:t>o</w:t>
      </w:r>
      <w:r w:rsidR="00865E22" w:rsidRPr="00B62E11">
        <w:rPr>
          <w:lang w:val="fr-FR"/>
        </w:rPr>
        <w:t> 25701/94, §</w:t>
      </w:r>
      <w:r w:rsidR="000B5A6D" w:rsidRPr="00B62E11">
        <w:rPr>
          <w:lang w:val="fr-FR"/>
        </w:rPr>
        <w:t>§</w:t>
      </w:r>
      <w:r w:rsidR="00865E22" w:rsidRPr="00B62E11">
        <w:rPr>
          <w:lang w:val="fr-FR"/>
        </w:rPr>
        <w:t xml:space="preserve"> 89-90, CEDH </w:t>
      </w:r>
      <w:r w:rsidRPr="00B62E11">
        <w:rPr>
          <w:lang w:val="fr-FR"/>
        </w:rPr>
        <w:t xml:space="preserve">2000-XII ; </w:t>
      </w:r>
      <w:r w:rsidRPr="00B62E11">
        <w:rPr>
          <w:i/>
          <w:lang w:val="fr-FR"/>
        </w:rPr>
        <w:t xml:space="preserve">Sporrong et Lönnroth, </w:t>
      </w:r>
      <w:r w:rsidR="00865E22" w:rsidRPr="00B62E11">
        <w:rPr>
          <w:lang w:val="fr-FR"/>
        </w:rPr>
        <w:t xml:space="preserve">précité, § 73, </w:t>
      </w:r>
      <w:r w:rsidRPr="00B62E11">
        <w:rPr>
          <w:lang w:val="fr-FR"/>
        </w:rPr>
        <w:t>p. 28).</w:t>
      </w:r>
    </w:p>
    <w:p w:rsidR="007B2119" w:rsidRPr="00B62E11" w:rsidRDefault="007B2119" w:rsidP="00B62E11">
      <w:pPr>
        <w:pStyle w:val="ECHRPara"/>
        <w:rPr>
          <w:lang w:val="fr-FR"/>
        </w:rPr>
      </w:pPr>
      <w:r w:rsidRPr="00B62E11">
        <w:rPr>
          <w:lang w:val="fr-FR"/>
        </w:rPr>
        <w:lastRenderedPageBreak/>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45</w:t>
      </w:r>
      <w:r w:rsidRPr="00B62E11">
        <w:rPr>
          <w:lang w:val="fr-FR"/>
        </w:rPr>
        <w:fldChar w:fldCharType="end"/>
      </w:r>
      <w:r w:rsidRPr="00B62E11">
        <w:rPr>
          <w:lang w:val="fr-FR"/>
        </w:rPr>
        <w:t>.  En contrôlant le respect de cette exigence, la Cour reconnaît à l</w:t>
      </w:r>
      <w:r w:rsidR="00B62E11" w:rsidRPr="00B62E11">
        <w:rPr>
          <w:lang w:val="fr-FR"/>
        </w:rPr>
        <w:t>’</w:t>
      </w:r>
      <w:r w:rsidRPr="00B62E11">
        <w:rPr>
          <w:lang w:val="fr-FR"/>
        </w:rPr>
        <w:t>État une grande marge d</w:t>
      </w:r>
      <w:r w:rsidR="00B62E11" w:rsidRPr="00B62E11">
        <w:rPr>
          <w:lang w:val="fr-FR"/>
        </w:rPr>
        <w:t>’</w:t>
      </w:r>
      <w:r w:rsidRPr="00B62E11">
        <w:rPr>
          <w:lang w:val="fr-FR"/>
        </w:rPr>
        <w:t>appréciation tant pour choisir les modalités de mise en œuvre que pour juger si leurs conséquences se trouvent légitimées, dans l</w:t>
      </w:r>
      <w:r w:rsidR="00B62E11" w:rsidRPr="00B62E11">
        <w:rPr>
          <w:lang w:val="fr-FR"/>
        </w:rPr>
        <w:t>’</w:t>
      </w:r>
      <w:r w:rsidRPr="00B62E11">
        <w:rPr>
          <w:lang w:val="fr-FR"/>
        </w:rPr>
        <w:t>intérêt général, par le souci d</w:t>
      </w:r>
      <w:r w:rsidR="00B62E11" w:rsidRPr="00B62E11">
        <w:rPr>
          <w:lang w:val="fr-FR"/>
        </w:rPr>
        <w:t>’</w:t>
      </w:r>
      <w:r w:rsidRPr="00B62E11">
        <w:rPr>
          <w:lang w:val="fr-FR"/>
        </w:rPr>
        <w:t>atteindre l</w:t>
      </w:r>
      <w:r w:rsidR="00B62E11" w:rsidRPr="00B62E11">
        <w:rPr>
          <w:lang w:val="fr-FR"/>
        </w:rPr>
        <w:t>’</w:t>
      </w:r>
      <w:r w:rsidRPr="00B62E11">
        <w:rPr>
          <w:lang w:val="fr-FR"/>
        </w:rPr>
        <w:t>objectif de la loi en cause (</w:t>
      </w:r>
      <w:r w:rsidRPr="00B62E11">
        <w:rPr>
          <w:i/>
          <w:lang w:val="fr-FR"/>
        </w:rPr>
        <w:t xml:space="preserve">Chassagnou et autres c. France </w:t>
      </w:r>
      <w:r w:rsidRPr="00B62E11">
        <w:rPr>
          <w:lang w:val="fr-FR"/>
        </w:rPr>
        <w:t>[GC], n</w:t>
      </w:r>
      <w:r w:rsidRPr="00B62E11">
        <w:rPr>
          <w:vertAlign w:val="superscript"/>
          <w:lang w:val="fr-FR"/>
        </w:rPr>
        <w:t>os</w:t>
      </w:r>
      <w:r w:rsidRPr="00B62E11">
        <w:rPr>
          <w:lang w:val="fr-FR"/>
        </w:rPr>
        <w:t xml:space="preserve"> 25</w:t>
      </w:r>
      <w:r w:rsidR="00B62E11" w:rsidRPr="00B62E11">
        <w:rPr>
          <w:lang w:val="fr-FR"/>
        </w:rPr>
        <w:t>088/94, 28331/95 et 28443/95, § </w:t>
      </w:r>
      <w:r w:rsidRPr="00B62E11">
        <w:rPr>
          <w:lang w:val="fr-FR"/>
        </w:rPr>
        <w:t>75, CEDH 1999-III). Elle ne saurait renoncer pour autant à son pouvoir de contrôle, en vertu duquel il lui appartient de vérifier que l</w:t>
      </w:r>
      <w:r w:rsidR="00B62E11" w:rsidRPr="00B62E11">
        <w:rPr>
          <w:lang w:val="fr-FR"/>
        </w:rPr>
        <w:t>’</w:t>
      </w:r>
      <w:r w:rsidRPr="00B62E11">
        <w:rPr>
          <w:lang w:val="fr-FR"/>
        </w:rPr>
        <w:t>équilibre voulu a été préservé de manière compatible avec le droit des requérants au respect de leurs biens, au sens de la première phrase de l</w:t>
      </w:r>
      <w:r w:rsidR="00B62E11" w:rsidRPr="00B62E11">
        <w:rPr>
          <w:lang w:val="fr-FR"/>
        </w:rPr>
        <w:t>’</w:t>
      </w:r>
      <w:r w:rsidRPr="00B62E11">
        <w:rPr>
          <w:lang w:val="fr-FR"/>
        </w:rPr>
        <w:t>article 1 du Protocole n</w:t>
      </w:r>
      <w:r w:rsidRPr="00B62E11">
        <w:rPr>
          <w:vertAlign w:val="superscript"/>
          <w:lang w:val="fr-FR"/>
        </w:rPr>
        <w:t>o</w:t>
      </w:r>
      <w:r w:rsidRPr="00B62E11">
        <w:rPr>
          <w:lang w:val="fr-FR"/>
        </w:rPr>
        <w:t xml:space="preserve"> 1 (</w:t>
      </w:r>
      <w:r w:rsidRPr="00B62E11">
        <w:rPr>
          <w:i/>
          <w:lang w:val="fr-FR"/>
        </w:rPr>
        <w:t xml:space="preserve">Jahn et autres c. Allemagne </w:t>
      </w:r>
      <w:r w:rsidRPr="00B62E11">
        <w:rPr>
          <w:lang w:val="fr-FR"/>
        </w:rPr>
        <w:t>[GC], n</w:t>
      </w:r>
      <w:r w:rsidRPr="00B62E11">
        <w:rPr>
          <w:vertAlign w:val="superscript"/>
          <w:lang w:val="fr-FR"/>
        </w:rPr>
        <w:t>os</w:t>
      </w:r>
      <w:r w:rsidRPr="00B62E11">
        <w:rPr>
          <w:lang w:val="fr-FR"/>
        </w:rPr>
        <w:t xml:space="preserve"> 46720/99, 72203/01 et 72552/01, § 93, CEDH 2005).</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46</w:t>
      </w:r>
      <w:r w:rsidRPr="00B62E11">
        <w:rPr>
          <w:lang w:val="fr-FR"/>
        </w:rPr>
        <w:fldChar w:fldCharType="end"/>
      </w:r>
      <w:r w:rsidRPr="00B62E11">
        <w:rPr>
          <w:lang w:val="fr-FR"/>
        </w:rPr>
        <w:t>.  Afin de déterminer si la mesure litigieuse respecte le « juste équilibre » voulu et, notamment, si elle ne fait pas peser sur les requérants une charge disproportionnée, il y a lieu de prendre en considération les modalités d</w:t>
      </w:r>
      <w:r w:rsidR="00B62E11" w:rsidRPr="00B62E11">
        <w:rPr>
          <w:lang w:val="fr-FR"/>
        </w:rPr>
        <w:t>’</w:t>
      </w:r>
      <w:r w:rsidRPr="00B62E11">
        <w:rPr>
          <w:lang w:val="fr-FR"/>
        </w:rPr>
        <w:t>indemnisation prévues par la législation interne. À cet égard, la Cour a déjà dit que, sans le versement d</w:t>
      </w:r>
      <w:r w:rsidR="00B62E11" w:rsidRPr="00B62E11">
        <w:rPr>
          <w:lang w:val="fr-FR"/>
        </w:rPr>
        <w:t>’</w:t>
      </w:r>
      <w:r w:rsidRPr="00B62E11">
        <w:rPr>
          <w:lang w:val="fr-FR"/>
        </w:rPr>
        <w:t>une somme raisonnablement en rapport avec la valeur du bien, une privation de propriété constitue normalement une atteinte excessive. Un défaut total d</w:t>
      </w:r>
      <w:r w:rsidR="00B62E11" w:rsidRPr="00B62E11">
        <w:rPr>
          <w:lang w:val="fr-FR"/>
        </w:rPr>
        <w:t>’</w:t>
      </w:r>
      <w:r w:rsidRPr="00B62E11">
        <w:rPr>
          <w:lang w:val="fr-FR"/>
        </w:rPr>
        <w:t>indemnisation ne saurait se justifier sur le terrain de l</w:t>
      </w:r>
      <w:r w:rsidR="00B62E11" w:rsidRPr="00B62E11">
        <w:rPr>
          <w:lang w:val="fr-FR"/>
        </w:rPr>
        <w:t>’</w:t>
      </w:r>
      <w:r w:rsidRPr="00B62E11">
        <w:rPr>
          <w:lang w:val="fr-FR"/>
        </w:rPr>
        <w:t>article 1 du Protocole n</w:t>
      </w:r>
      <w:r w:rsidRPr="00B62E11">
        <w:rPr>
          <w:vertAlign w:val="superscript"/>
          <w:lang w:val="fr-FR"/>
        </w:rPr>
        <w:t>o</w:t>
      </w:r>
      <w:r w:rsidRPr="00B62E11">
        <w:rPr>
          <w:lang w:val="fr-FR"/>
        </w:rPr>
        <w:t xml:space="preserve"> 1 que dans des circonstances exceptionnelles (</w:t>
      </w:r>
      <w:r w:rsidRPr="00B62E11">
        <w:rPr>
          <w:i/>
          <w:lang w:val="fr-FR"/>
        </w:rPr>
        <w:t>Les Saints Monastères</w:t>
      </w:r>
      <w:r w:rsidRPr="00B62E11">
        <w:rPr>
          <w:lang w:val="fr-FR"/>
        </w:rPr>
        <w:t xml:space="preserve">, </w:t>
      </w:r>
      <w:r w:rsidR="00865E22" w:rsidRPr="00B62E11">
        <w:rPr>
          <w:lang w:val="fr-FR"/>
        </w:rPr>
        <w:t xml:space="preserve">§ 71, </w:t>
      </w:r>
      <w:r w:rsidRPr="00B62E11">
        <w:rPr>
          <w:lang w:val="fr-FR"/>
        </w:rPr>
        <w:t xml:space="preserve">p. 35, </w:t>
      </w:r>
      <w:r w:rsidRPr="00B62E11">
        <w:rPr>
          <w:i/>
          <w:lang w:val="fr-FR"/>
        </w:rPr>
        <w:t>Ex-Roi de Grèce et autres</w:t>
      </w:r>
      <w:r w:rsidRPr="00B62E11">
        <w:rPr>
          <w:lang w:val="fr-FR"/>
        </w:rPr>
        <w:t>, § 89, arrêts précités). Cette disposition ne garantit pas dans tous les cas le droit à une réparation intégrale (</w:t>
      </w:r>
      <w:r w:rsidRPr="00B62E11">
        <w:rPr>
          <w:i/>
          <w:lang w:val="fr-FR"/>
        </w:rPr>
        <w:t>James et autres</w:t>
      </w:r>
      <w:r w:rsidR="00B62E11" w:rsidRPr="00B62E11">
        <w:rPr>
          <w:lang w:val="fr-FR"/>
        </w:rPr>
        <w:t>, précité, § </w:t>
      </w:r>
      <w:r w:rsidRPr="00B62E11">
        <w:rPr>
          <w:lang w:val="fr-FR"/>
        </w:rPr>
        <w:t>54</w:t>
      </w:r>
      <w:r w:rsidR="00865E22" w:rsidRPr="00B62E11">
        <w:rPr>
          <w:lang w:val="fr-FR"/>
        </w:rPr>
        <w:t>,</w:t>
      </w:r>
      <w:r w:rsidR="00B62E11" w:rsidRPr="00B62E11">
        <w:rPr>
          <w:lang w:val="fr-FR"/>
        </w:rPr>
        <w:t xml:space="preserve"> </w:t>
      </w:r>
      <w:r w:rsidR="00865E22" w:rsidRPr="00B62E11">
        <w:rPr>
          <w:lang w:val="fr-FR"/>
        </w:rPr>
        <w:t>p. 36 </w:t>
      </w:r>
      <w:r w:rsidRPr="00B62E11">
        <w:rPr>
          <w:lang w:val="fr-FR"/>
        </w:rPr>
        <w:t xml:space="preserve">; </w:t>
      </w:r>
      <w:r w:rsidRPr="00B62E11">
        <w:rPr>
          <w:i/>
          <w:lang w:val="fr-FR"/>
        </w:rPr>
        <w:t>Broniowski c. Pologne</w:t>
      </w:r>
      <w:r w:rsidRPr="00B62E11">
        <w:rPr>
          <w:lang w:val="fr-FR"/>
        </w:rPr>
        <w:t xml:space="preserve"> [GC], n</w:t>
      </w:r>
      <w:r w:rsidRPr="00B62E11">
        <w:rPr>
          <w:vertAlign w:val="superscript"/>
          <w:lang w:val="fr-FR"/>
        </w:rPr>
        <w:t>o</w:t>
      </w:r>
      <w:r w:rsidRPr="00B62E11">
        <w:rPr>
          <w:lang w:val="fr-FR"/>
        </w:rPr>
        <w:t xml:space="preserve"> 31443/96, § 182, CEDH 2004-V).</w:t>
      </w:r>
    </w:p>
    <w:p w:rsidR="007B2119" w:rsidRPr="00B62E11" w:rsidRDefault="007B2119" w:rsidP="00B62E11">
      <w:pPr>
        <w:pStyle w:val="ECHRPara"/>
        <w:rPr>
          <w:szCs w:val="24"/>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47</w:t>
      </w:r>
      <w:r w:rsidRPr="00B62E11">
        <w:rPr>
          <w:lang w:val="fr-FR"/>
        </w:rPr>
        <w:fldChar w:fldCharType="end"/>
      </w:r>
      <w:r w:rsidRPr="00B62E11">
        <w:rPr>
          <w:lang w:val="fr-FR"/>
        </w:rPr>
        <w:t>.  S</w:t>
      </w:r>
      <w:r w:rsidR="00B62E11" w:rsidRPr="00B62E11">
        <w:rPr>
          <w:lang w:val="fr-FR"/>
        </w:rPr>
        <w:t>’</w:t>
      </w:r>
      <w:r w:rsidRPr="00B62E11">
        <w:rPr>
          <w:lang w:val="fr-FR"/>
        </w:rPr>
        <w:t>il est vrai que dans de nombreux cas d</w:t>
      </w:r>
      <w:r w:rsidR="00B62E11" w:rsidRPr="00B62E11">
        <w:rPr>
          <w:lang w:val="fr-FR"/>
        </w:rPr>
        <w:t>’</w:t>
      </w:r>
      <w:r w:rsidRPr="00B62E11">
        <w:rPr>
          <w:lang w:val="fr-FR"/>
        </w:rPr>
        <w:t>expropriation licite, comme l</w:t>
      </w:r>
      <w:r w:rsidR="00B62E11" w:rsidRPr="00B62E11">
        <w:rPr>
          <w:lang w:val="fr-FR"/>
        </w:rPr>
        <w:t>’</w:t>
      </w:r>
      <w:r w:rsidRPr="00B62E11">
        <w:rPr>
          <w:lang w:val="fr-FR"/>
        </w:rPr>
        <w:t>expropriation isolée d</w:t>
      </w:r>
      <w:r w:rsidR="00B62E11" w:rsidRPr="00B62E11">
        <w:rPr>
          <w:lang w:val="fr-FR"/>
        </w:rPr>
        <w:t>’</w:t>
      </w:r>
      <w:r w:rsidRPr="00B62E11">
        <w:rPr>
          <w:lang w:val="fr-FR"/>
        </w:rPr>
        <w:t>un terrain en vue de la construction d</w:t>
      </w:r>
      <w:r w:rsidR="00B62E11" w:rsidRPr="00B62E11">
        <w:rPr>
          <w:lang w:val="fr-FR"/>
        </w:rPr>
        <w:t>’</w:t>
      </w:r>
      <w:r w:rsidRPr="00B62E11">
        <w:rPr>
          <w:lang w:val="fr-FR"/>
        </w:rPr>
        <w:t>une route ou à d</w:t>
      </w:r>
      <w:r w:rsidR="00B62E11" w:rsidRPr="00B62E11">
        <w:rPr>
          <w:lang w:val="fr-FR"/>
        </w:rPr>
        <w:t>’</w:t>
      </w:r>
      <w:r w:rsidRPr="00B62E11">
        <w:rPr>
          <w:lang w:val="fr-FR"/>
        </w:rPr>
        <w:t>autres fins « d</w:t>
      </w:r>
      <w:r w:rsidR="00B62E11" w:rsidRPr="00B62E11">
        <w:rPr>
          <w:lang w:val="fr-FR"/>
        </w:rPr>
        <w:t>’</w:t>
      </w:r>
      <w:r w:rsidRPr="00B62E11">
        <w:rPr>
          <w:lang w:val="fr-FR"/>
        </w:rPr>
        <w:t>utilité publique », seule une indemnisation intégrale peut être considérée comme raisonnablement en rapport avec la valeur du bien, cette règle n</w:t>
      </w:r>
      <w:r w:rsidR="00B62E11" w:rsidRPr="00B62E11">
        <w:rPr>
          <w:lang w:val="fr-FR"/>
        </w:rPr>
        <w:t>’</w:t>
      </w:r>
      <w:r w:rsidRPr="00B62E11">
        <w:rPr>
          <w:lang w:val="fr-FR"/>
        </w:rPr>
        <w:t>est toutefois pas sans exception (</w:t>
      </w:r>
      <w:r w:rsidRPr="00B62E11">
        <w:rPr>
          <w:i/>
          <w:lang w:val="fr-FR"/>
        </w:rPr>
        <w:t>Ex-roi de Grèce et autres c. Grèce</w:t>
      </w:r>
      <w:r w:rsidRPr="00B62E11">
        <w:rPr>
          <w:lang w:val="fr-FR"/>
        </w:rPr>
        <w:t xml:space="preserve"> [GC] (satisfaction équitable), n</w:t>
      </w:r>
      <w:r w:rsidRPr="00B62E11">
        <w:rPr>
          <w:vertAlign w:val="superscript"/>
          <w:lang w:val="fr-FR"/>
        </w:rPr>
        <w:t>o</w:t>
      </w:r>
      <w:r w:rsidRPr="00B62E11">
        <w:rPr>
          <w:lang w:val="fr-FR"/>
        </w:rPr>
        <w:t xml:space="preserve"> 25701/94, § 78</w:t>
      </w:r>
      <w:r w:rsidR="00136E67" w:rsidRPr="00B62E11">
        <w:rPr>
          <w:lang w:val="fr-FR"/>
        </w:rPr>
        <w:t>, 28 novembre 2002</w:t>
      </w:r>
      <w:r w:rsidRPr="00B62E11">
        <w:rPr>
          <w:lang w:val="fr-FR"/>
        </w:rPr>
        <w:t>). Des objectifs légitimes « d</w:t>
      </w:r>
      <w:r w:rsidR="00B62E11" w:rsidRPr="00B62E11">
        <w:rPr>
          <w:lang w:val="fr-FR"/>
        </w:rPr>
        <w:t>’</w:t>
      </w:r>
      <w:r w:rsidRPr="00B62E11">
        <w:rPr>
          <w:lang w:val="fr-FR"/>
        </w:rPr>
        <w:t>utilité publique », tels qu</w:t>
      </w:r>
      <w:r w:rsidR="00B62E11" w:rsidRPr="00B62E11">
        <w:rPr>
          <w:lang w:val="fr-FR"/>
        </w:rPr>
        <w:t>’</w:t>
      </w:r>
      <w:r w:rsidRPr="00B62E11">
        <w:rPr>
          <w:lang w:val="fr-FR"/>
        </w:rPr>
        <w:t>en poursuivent des mesures de réforme économique ou de justice sociale, peuvent militer pour un remboursement inférieur à la pleine valeur marchande (</w:t>
      </w:r>
      <w:r w:rsidRPr="00B62E11">
        <w:rPr>
          <w:i/>
          <w:lang w:val="fr-FR"/>
        </w:rPr>
        <w:t>Scordino c. Italie (n</w:t>
      </w:r>
      <w:r w:rsidRPr="00B62E11">
        <w:rPr>
          <w:i/>
          <w:vertAlign w:val="superscript"/>
          <w:lang w:val="fr-FR"/>
        </w:rPr>
        <w:t>o</w:t>
      </w:r>
      <w:r w:rsidRPr="00B62E11">
        <w:rPr>
          <w:i/>
          <w:lang w:val="fr-FR"/>
        </w:rPr>
        <w:t>  1)</w:t>
      </w:r>
      <w:r w:rsidR="00EE6FC9" w:rsidRPr="00B62E11">
        <w:rPr>
          <w:lang w:val="fr-FR"/>
        </w:rPr>
        <w:t xml:space="preserve">, </w:t>
      </w:r>
      <w:r w:rsidR="00EE6FC9" w:rsidRPr="00B62E11">
        <w:rPr>
          <w:szCs w:val="24"/>
          <w:lang w:val="fr-FR"/>
        </w:rPr>
        <w:t>[GC], n</w:t>
      </w:r>
      <w:r w:rsidR="00EE6FC9" w:rsidRPr="00B62E11">
        <w:rPr>
          <w:szCs w:val="24"/>
          <w:vertAlign w:val="superscript"/>
          <w:lang w:val="fr-FR"/>
        </w:rPr>
        <w:t>o</w:t>
      </w:r>
      <w:r w:rsidR="00EE6FC9" w:rsidRPr="00B62E11">
        <w:rPr>
          <w:szCs w:val="24"/>
          <w:lang w:val="fr-FR"/>
        </w:rPr>
        <w:t xml:space="preserve"> 36813/97,</w:t>
      </w:r>
      <w:r w:rsidRPr="00B62E11">
        <w:rPr>
          <w:lang w:val="fr-FR"/>
        </w:rPr>
        <w:t xml:space="preserve"> §§ 93-97</w:t>
      </w:r>
      <w:r w:rsidR="00EE6FC9" w:rsidRPr="00B62E11">
        <w:rPr>
          <w:lang w:val="fr-FR"/>
        </w:rPr>
        <w:t>,</w:t>
      </w:r>
      <w:r w:rsidR="00EE6FC9" w:rsidRPr="00B62E11">
        <w:rPr>
          <w:szCs w:val="24"/>
          <w:lang w:val="fr-FR"/>
        </w:rPr>
        <w:t xml:space="preserve"> CEDH 2006</w:t>
      </w:r>
      <w:r w:rsidR="00EE6FC9" w:rsidRPr="00B62E11">
        <w:rPr>
          <w:szCs w:val="24"/>
          <w:lang w:val="fr-FR"/>
        </w:rPr>
        <w:noBreakHyphen/>
        <w:t>V</w:t>
      </w:r>
      <w:r w:rsidRPr="00B62E11">
        <w:rPr>
          <w:lang w:val="fr-FR"/>
        </w:rPr>
        <w:t>).</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48</w:t>
      </w:r>
      <w:r w:rsidRPr="00B62E11">
        <w:rPr>
          <w:lang w:val="fr-FR"/>
        </w:rPr>
        <w:fldChar w:fldCharType="end"/>
      </w:r>
      <w:r w:rsidRPr="00B62E11">
        <w:rPr>
          <w:lang w:val="fr-FR"/>
        </w:rPr>
        <w:t>.  En l</w:t>
      </w:r>
      <w:r w:rsidR="00B62E11" w:rsidRPr="00B62E11">
        <w:rPr>
          <w:lang w:val="fr-FR"/>
        </w:rPr>
        <w:t>’</w:t>
      </w:r>
      <w:r w:rsidRPr="00B62E11">
        <w:rPr>
          <w:lang w:val="fr-FR"/>
        </w:rPr>
        <w:t>espèce, il n</w:t>
      </w:r>
      <w:r w:rsidR="00B62E11" w:rsidRPr="00B62E11">
        <w:rPr>
          <w:lang w:val="fr-FR"/>
        </w:rPr>
        <w:t>’</w:t>
      </w:r>
      <w:r w:rsidRPr="00B62E11">
        <w:rPr>
          <w:lang w:val="fr-FR"/>
        </w:rPr>
        <w:t>est pas contesté que l</w:t>
      </w:r>
      <w:r w:rsidR="00B62E11" w:rsidRPr="00B62E11">
        <w:rPr>
          <w:lang w:val="fr-FR"/>
        </w:rPr>
        <w:t>’</w:t>
      </w:r>
      <w:r w:rsidRPr="00B62E11">
        <w:rPr>
          <w:lang w:val="fr-FR"/>
        </w:rPr>
        <w:t>ingérence litigieuse ait satisfait à la condition de légalité et poursuivait un but légitime d</w:t>
      </w:r>
      <w:r w:rsidR="00B62E11" w:rsidRPr="00B62E11">
        <w:rPr>
          <w:lang w:val="fr-FR"/>
        </w:rPr>
        <w:t>’</w:t>
      </w:r>
      <w:r w:rsidRPr="00B62E11">
        <w:rPr>
          <w:lang w:val="fr-FR"/>
        </w:rPr>
        <w:t>utilité publique. Dès lors, il reste à rechercher si, dans le cadre d</w:t>
      </w:r>
      <w:r w:rsidR="00B62E11" w:rsidRPr="00B62E11">
        <w:rPr>
          <w:lang w:val="fr-FR"/>
        </w:rPr>
        <w:t>’</w:t>
      </w:r>
      <w:r w:rsidRPr="00B62E11">
        <w:rPr>
          <w:lang w:val="fr-FR"/>
        </w:rPr>
        <w:t>une privation de propriété licite, le requérant a eu à supporter une charge disproportionnée et excessive.</w:t>
      </w:r>
    </w:p>
    <w:p w:rsidR="00B62E11"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49</w:t>
      </w:r>
      <w:r w:rsidRPr="00B62E11">
        <w:rPr>
          <w:lang w:val="fr-FR"/>
        </w:rPr>
        <w:fldChar w:fldCharType="end"/>
      </w:r>
      <w:r w:rsidRPr="00B62E11">
        <w:rPr>
          <w:lang w:val="fr-FR"/>
        </w:rPr>
        <w:t>.  Le requérant se plaint de ce que l</w:t>
      </w:r>
      <w:r w:rsidR="00B62E11" w:rsidRPr="00B62E11">
        <w:rPr>
          <w:lang w:val="fr-FR"/>
        </w:rPr>
        <w:t>’</w:t>
      </w:r>
      <w:r w:rsidRPr="00B62E11">
        <w:rPr>
          <w:lang w:val="fr-FR"/>
        </w:rPr>
        <w:t>indemnisation de son terrain – non utilisé à des fins agricoles - a été calculée en fonction de l</w:t>
      </w:r>
      <w:r w:rsidR="00B62E11" w:rsidRPr="00B62E11">
        <w:rPr>
          <w:lang w:val="fr-FR"/>
        </w:rPr>
        <w:t>’</w:t>
      </w:r>
      <w:r w:rsidRPr="00B62E11">
        <w:rPr>
          <w:lang w:val="fr-FR"/>
        </w:rPr>
        <w:t xml:space="preserve">article </w:t>
      </w:r>
      <w:r w:rsidRPr="00B62E11">
        <w:rPr>
          <w:i/>
          <w:lang w:val="fr-FR"/>
        </w:rPr>
        <w:t>5bis</w:t>
      </w:r>
      <w:r w:rsidR="00B62E11" w:rsidRPr="00B62E11">
        <w:rPr>
          <w:lang w:val="fr-FR"/>
        </w:rPr>
        <w:t>, alinéas </w:t>
      </w:r>
      <w:r w:rsidRPr="00B62E11">
        <w:rPr>
          <w:lang w:val="fr-FR"/>
        </w:rPr>
        <w:t>3 et 4, de la loi n</w:t>
      </w:r>
      <w:r w:rsidRPr="00B62E11">
        <w:rPr>
          <w:vertAlign w:val="superscript"/>
          <w:lang w:val="fr-FR"/>
        </w:rPr>
        <w:t>o</w:t>
      </w:r>
      <w:r w:rsidRPr="00B62E11">
        <w:rPr>
          <w:lang w:val="fr-FR"/>
        </w:rPr>
        <w:t xml:space="preserve"> 359 de 1992, aux termes desquels l</w:t>
      </w:r>
      <w:r w:rsidR="00B62E11" w:rsidRPr="00B62E11">
        <w:rPr>
          <w:lang w:val="fr-FR"/>
        </w:rPr>
        <w:t>’</w:t>
      </w:r>
      <w:r w:rsidRPr="00B62E11">
        <w:rPr>
          <w:lang w:val="fr-FR"/>
        </w:rPr>
        <w:t>indemnité d</w:t>
      </w:r>
      <w:r w:rsidR="00B62E11" w:rsidRPr="00B62E11">
        <w:rPr>
          <w:lang w:val="fr-FR"/>
        </w:rPr>
        <w:t>’</w:t>
      </w:r>
      <w:r w:rsidRPr="00B62E11">
        <w:rPr>
          <w:lang w:val="fr-FR"/>
        </w:rPr>
        <w:t>expropriation d</w:t>
      </w:r>
      <w:r w:rsidR="00B62E11" w:rsidRPr="00B62E11">
        <w:rPr>
          <w:lang w:val="fr-FR"/>
        </w:rPr>
        <w:t>’</w:t>
      </w:r>
      <w:r w:rsidRPr="00B62E11">
        <w:rPr>
          <w:lang w:val="fr-FR"/>
        </w:rPr>
        <w:t>un terrain classé comme agricole par le plan d</w:t>
      </w:r>
      <w:r w:rsidR="00B62E11" w:rsidRPr="00B62E11">
        <w:rPr>
          <w:lang w:val="fr-FR"/>
        </w:rPr>
        <w:t>’</w:t>
      </w:r>
      <w:r w:rsidRPr="00B62E11">
        <w:rPr>
          <w:lang w:val="fr-FR"/>
        </w:rPr>
        <w:t xml:space="preserve">urbanisme </w:t>
      </w:r>
      <w:r w:rsidRPr="00B62E11">
        <w:rPr>
          <w:lang w:val="fr-FR"/>
        </w:rPr>
        <w:lastRenderedPageBreak/>
        <w:t>doit correspondre à la valeur moyenne de rendement agricole des terrains de la région.</w:t>
      </w:r>
    </w:p>
    <w:p w:rsidR="00B62E11"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50</w:t>
      </w:r>
      <w:r w:rsidRPr="00B62E11">
        <w:rPr>
          <w:lang w:val="fr-FR"/>
        </w:rPr>
        <w:fldChar w:fldCharType="end"/>
      </w:r>
      <w:r w:rsidRPr="00B62E11">
        <w:rPr>
          <w:lang w:val="fr-FR"/>
        </w:rPr>
        <w:t>.  La Cour rappelle qu</w:t>
      </w:r>
      <w:r w:rsidR="00B62E11" w:rsidRPr="00B62E11">
        <w:rPr>
          <w:lang w:val="fr-FR"/>
        </w:rPr>
        <w:t>’</w:t>
      </w:r>
      <w:r w:rsidRPr="00B62E11">
        <w:rPr>
          <w:lang w:val="fr-FR"/>
        </w:rPr>
        <w:t>elle n</w:t>
      </w:r>
      <w:r w:rsidR="00B62E11" w:rsidRPr="00B62E11">
        <w:rPr>
          <w:lang w:val="fr-FR"/>
        </w:rPr>
        <w:t>’</w:t>
      </w:r>
      <w:r w:rsidRPr="00B62E11">
        <w:rPr>
          <w:lang w:val="fr-FR"/>
        </w:rPr>
        <w:t>a pas pour tâche de contrôler dans l</w:t>
      </w:r>
      <w:r w:rsidR="00B62E11" w:rsidRPr="00B62E11">
        <w:rPr>
          <w:lang w:val="fr-FR"/>
        </w:rPr>
        <w:t>’</w:t>
      </w:r>
      <w:r w:rsidRPr="00B62E11">
        <w:rPr>
          <w:lang w:val="fr-FR"/>
        </w:rPr>
        <w:t>abstrait la législation litigieuse ; elle doit se borner autant que possible à examiner les problèmes soulevés par le requérant pour le cas dont on l</w:t>
      </w:r>
      <w:r w:rsidR="00B62E11" w:rsidRPr="00B62E11">
        <w:rPr>
          <w:lang w:val="fr-FR"/>
        </w:rPr>
        <w:t>’</w:t>
      </w:r>
      <w:r w:rsidRPr="00B62E11">
        <w:rPr>
          <w:lang w:val="fr-FR"/>
        </w:rPr>
        <w:t>a saisie. À cette fin, elle doit, en l</w:t>
      </w:r>
      <w:r w:rsidR="00B62E11" w:rsidRPr="00B62E11">
        <w:rPr>
          <w:lang w:val="fr-FR"/>
        </w:rPr>
        <w:t>’</w:t>
      </w:r>
      <w:r w:rsidRPr="00B62E11">
        <w:rPr>
          <w:lang w:val="fr-FR"/>
        </w:rPr>
        <w:t>espèce, se pencher sur la loi susmentionnée dans la mesure où le requérant s</w:t>
      </w:r>
      <w:r w:rsidR="00B62E11" w:rsidRPr="00B62E11">
        <w:rPr>
          <w:lang w:val="fr-FR"/>
        </w:rPr>
        <w:t>’</w:t>
      </w:r>
      <w:r w:rsidRPr="00B62E11">
        <w:rPr>
          <w:lang w:val="fr-FR"/>
        </w:rPr>
        <w:t>en prend aux répercussions de celle-ci sur ses biens (</w:t>
      </w:r>
      <w:r w:rsidRPr="00B62E11">
        <w:rPr>
          <w:i/>
          <w:lang w:val="fr-FR"/>
        </w:rPr>
        <w:t>Les Saints Monastères</w:t>
      </w:r>
      <w:r w:rsidR="00865E22" w:rsidRPr="00B62E11">
        <w:rPr>
          <w:lang w:val="fr-FR"/>
        </w:rPr>
        <w:t>,</w:t>
      </w:r>
      <w:r w:rsidRPr="00B62E11">
        <w:rPr>
          <w:lang w:val="fr-FR"/>
        </w:rPr>
        <w:t xml:space="preserve"> précité, § 55). Il ne revient </w:t>
      </w:r>
      <w:r w:rsidRPr="00B62E11">
        <w:rPr>
          <w:szCs w:val="24"/>
          <w:lang w:val="fr-FR"/>
        </w:rPr>
        <w:t>pas non plus à la Cour de trancher du classement ou de l</w:t>
      </w:r>
      <w:r w:rsidR="00B62E11" w:rsidRPr="00B62E11">
        <w:rPr>
          <w:szCs w:val="24"/>
          <w:lang w:val="fr-FR"/>
        </w:rPr>
        <w:t>’</w:t>
      </w:r>
      <w:r w:rsidRPr="00B62E11">
        <w:rPr>
          <w:szCs w:val="24"/>
          <w:lang w:val="fr-FR"/>
        </w:rPr>
        <w:t>estimation du terrain telle que retenue par l</w:t>
      </w:r>
      <w:r w:rsidR="00B62E11" w:rsidRPr="00B62E11">
        <w:rPr>
          <w:szCs w:val="24"/>
          <w:lang w:val="fr-FR"/>
        </w:rPr>
        <w:t>’</w:t>
      </w:r>
      <w:r w:rsidRPr="00B62E11">
        <w:rPr>
          <w:szCs w:val="24"/>
          <w:lang w:val="fr-FR"/>
        </w:rPr>
        <w:t>administration puis les juridictions internes, sauf à démontrer que l</w:t>
      </w:r>
      <w:r w:rsidR="00B62E11" w:rsidRPr="00B62E11">
        <w:rPr>
          <w:szCs w:val="24"/>
          <w:lang w:val="fr-FR"/>
        </w:rPr>
        <w:t>’</w:t>
      </w:r>
      <w:r w:rsidRPr="00B62E11">
        <w:rPr>
          <w:szCs w:val="24"/>
          <w:lang w:val="fr-FR"/>
        </w:rPr>
        <w:t>indemnité versée à ce titre est sans rapport avec la valeur réelle du bien (</w:t>
      </w:r>
      <w:r w:rsidRPr="00B62E11">
        <w:rPr>
          <w:i/>
          <w:lang w:val="fr-FR"/>
        </w:rPr>
        <w:t>Lallement c. France</w:t>
      </w:r>
      <w:r w:rsidRPr="00B62E11">
        <w:rPr>
          <w:lang w:val="fr-FR"/>
        </w:rPr>
        <w:t>, n</w:t>
      </w:r>
      <w:r w:rsidRPr="00B62E11">
        <w:rPr>
          <w:vertAlign w:val="superscript"/>
          <w:lang w:val="fr-FR"/>
        </w:rPr>
        <w:t>o</w:t>
      </w:r>
      <w:r w:rsidRPr="00B62E11">
        <w:rPr>
          <w:lang w:val="fr-FR"/>
        </w:rPr>
        <w:t xml:space="preserve"> 46044/99, § 20, 11 avril 2002).</w:t>
      </w:r>
    </w:p>
    <w:p w:rsidR="00B62E11"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51</w:t>
      </w:r>
      <w:r w:rsidRPr="00B62E11">
        <w:rPr>
          <w:lang w:val="fr-FR"/>
        </w:rPr>
        <w:fldChar w:fldCharType="end"/>
      </w:r>
      <w:r w:rsidRPr="00B62E11">
        <w:rPr>
          <w:lang w:val="fr-FR"/>
        </w:rPr>
        <w:t>.  En l</w:t>
      </w:r>
      <w:r w:rsidR="00B62E11" w:rsidRPr="00B62E11">
        <w:rPr>
          <w:lang w:val="fr-FR"/>
        </w:rPr>
        <w:t>’</w:t>
      </w:r>
      <w:r w:rsidRPr="00B62E11">
        <w:rPr>
          <w:lang w:val="fr-FR"/>
        </w:rPr>
        <w:t>occurrence, la Cour relève que les juridictions nationales n</w:t>
      </w:r>
      <w:r w:rsidR="00B62E11" w:rsidRPr="00B62E11">
        <w:rPr>
          <w:lang w:val="fr-FR"/>
        </w:rPr>
        <w:t>’</w:t>
      </w:r>
      <w:r w:rsidRPr="00B62E11">
        <w:rPr>
          <w:lang w:val="fr-FR"/>
        </w:rPr>
        <w:t>ont pas pris en compte la valeur marchande du terrain. Leur calcul ne s</w:t>
      </w:r>
      <w:r w:rsidR="00B62E11" w:rsidRPr="00B62E11">
        <w:rPr>
          <w:lang w:val="fr-FR"/>
        </w:rPr>
        <w:t>’</w:t>
      </w:r>
      <w:r w:rsidRPr="00B62E11">
        <w:rPr>
          <w:lang w:val="fr-FR"/>
        </w:rPr>
        <w:t>est en effet pas basé sur la situation du terrain et ses caractéristiques réelles, de sorte qu</w:t>
      </w:r>
      <w:r w:rsidR="00B62E11" w:rsidRPr="00B62E11">
        <w:rPr>
          <w:lang w:val="fr-FR"/>
        </w:rPr>
        <w:t>’</w:t>
      </w:r>
      <w:r w:rsidRPr="00B62E11">
        <w:rPr>
          <w:lang w:val="fr-FR"/>
        </w:rPr>
        <w:t>il y a eu indemnisation comme si le terrain litigieux avait été exploité en agriculture. Ce système, qui ne tient aucun compte de la diversité des situations, en méconnaissant les différences résultant notamment de la configuration des lieux, et qui ne permet dès lors pas de calculer une indemnité d</w:t>
      </w:r>
      <w:r w:rsidR="00B62E11" w:rsidRPr="00B62E11">
        <w:rPr>
          <w:lang w:val="fr-FR"/>
        </w:rPr>
        <w:t>’</w:t>
      </w:r>
      <w:r w:rsidRPr="00B62E11">
        <w:rPr>
          <w:lang w:val="fr-FR"/>
        </w:rPr>
        <w:t>expropriation en rapport avec la valeur marchande d</w:t>
      </w:r>
      <w:r w:rsidR="00B62E11" w:rsidRPr="00B62E11">
        <w:rPr>
          <w:lang w:val="fr-FR"/>
        </w:rPr>
        <w:t>’</w:t>
      </w:r>
      <w:r w:rsidRPr="00B62E11">
        <w:rPr>
          <w:lang w:val="fr-FR"/>
        </w:rPr>
        <w:t>un terrain, a d</w:t>
      </w:r>
      <w:r w:rsidR="00B62E11" w:rsidRPr="00B62E11">
        <w:rPr>
          <w:lang w:val="fr-FR"/>
        </w:rPr>
        <w:t>’</w:t>
      </w:r>
      <w:r w:rsidRPr="00B62E11">
        <w:rPr>
          <w:lang w:val="fr-FR"/>
        </w:rPr>
        <w:t>ailleurs amené la Cour constitutionnelle à conclure à l</w:t>
      </w:r>
      <w:r w:rsidR="00B62E11" w:rsidRPr="00B62E11">
        <w:rPr>
          <w:lang w:val="fr-FR"/>
        </w:rPr>
        <w:t>’</w:t>
      </w:r>
      <w:r w:rsidRPr="00B62E11">
        <w:rPr>
          <w:lang w:val="fr-FR"/>
        </w:rPr>
        <w:t>incompatibilité des dispositions pertinentes avec la Constitution.</w:t>
      </w:r>
    </w:p>
    <w:p w:rsidR="00B62E11" w:rsidRPr="00B62E11" w:rsidRDefault="007B2119" w:rsidP="00B62E11">
      <w:pPr>
        <w:pStyle w:val="ECHRPara"/>
        <w:rPr>
          <w:i/>
          <w:lang w:val="fr-FR"/>
        </w:rPr>
      </w:pPr>
      <w:r w:rsidRPr="00B62E11">
        <w:rPr>
          <w:lang w:val="fr-FR"/>
        </w:rPr>
        <w:t>Il résulte de la situation ci-dessus que l</w:t>
      </w:r>
      <w:r w:rsidR="00B62E11" w:rsidRPr="00B62E11">
        <w:rPr>
          <w:lang w:val="fr-FR"/>
        </w:rPr>
        <w:t>’</w:t>
      </w:r>
      <w:r w:rsidRPr="00B62E11">
        <w:rPr>
          <w:lang w:val="fr-FR"/>
        </w:rPr>
        <w:t>indemnité d</w:t>
      </w:r>
      <w:r w:rsidR="00B62E11" w:rsidRPr="00B62E11">
        <w:rPr>
          <w:lang w:val="fr-FR"/>
        </w:rPr>
        <w:t>’</w:t>
      </w:r>
      <w:r w:rsidRPr="00B62E11">
        <w:rPr>
          <w:lang w:val="fr-FR"/>
        </w:rPr>
        <w:t>expropriation versée au requérant est largement inférieure à la valeur marchande du terrain en question. Le montant définitif de l</w:t>
      </w:r>
      <w:r w:rsidR="00B62E11" w:rsidRPr="00B62E11">
        <w:rPr>
          <w:lang w:val="fr-FR"/>
        </w:rPr>
        <w:t>’</w:t>
      </w:r>
      <w:r w:rsidRPr="00B62E11">
        <w:rPr>
          <w:lang w:val="fr-FR"/>
        </w:rPr>
        <w:t>indemnisation a été fixé à 1,81 EUR par mètre carré, alors que la valeur marchande du terrain estimée à la date de l</w:t>
      </w:r>
      <w:r w:rsidR="00B62E11" w:rsidRPr="00B62E11">
        <w:rPr>
          <w:lang w:val="fr-FR"/>
        </w:rPr>
        <w:t>’</w:t>
      </w:r>
      <w:r w:rsidRPr="00B62E11">
        <w:rPr>
          <w:lang w:val="fr-FR"/>
        </w:rPr>
        <w:t>occupation était respectivement de 33 EUR environ ou de 26 EUR environ par mètre carré, et ce selon les expertises d</w:t>
      </w:r>
      <w:r w:rsidR="00B62E11" w:rsidRPr="00B62E11">
        <w:rPr>
          <w:lang w:val="fr-FR"/>
        </w:rPr>
        <w:t>’</w:t>
      </w:r>
      <w:r w:rsidRPr="00B62E11">
        <w:rPr>
          <w:lang w:val="fr-FR"/>
        </w:rPr>
        <w:t>office ordonnées dans la procédure intentée par le requérant. Par ailleurs, le terrain dont le voisin du requérant était propriétaire et qui a été exproprié à la même époque, pour le même projet public, a été évalué à 20,50 EUR par mètre carré au moment de l</w:t>
      </w:r>
      <w:r w:rsidR="00B62E11" w:rsidRPr="00B62E11">
        <w:rPr>
          <w:lang w:val="fr-FR"/>
        </w:rPr>
        <w:t>’</w:t>
      </w:r>
      <w:r w:rsidRPr="00B62E11">
        <w:rPr>
          <w:lang w:val="fr-FR"/>
        </w:rPr>
        <w:t>expropriation.</w:t>
      </w:r>
    </w:p>
    <w:p w:rsidR="00B62E11"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52</w:t>
      </w:r>
      <w:r w:rsidRPr="00B62E11">
        <w:rPr>
          <w:lang w:val="fr-FR"/>
        </w:rPr>
        <w:fldChar w:fldCharType="end"/>
      </w:r>
      <w:r w:rsidRPr="00B62E11">
        <w:rPr>
          <w:lang w:val="fr-FR"/>
        </w:rPr>
        <w:t>.  Il s</w:t>
      </w:r>
      <w:r w:rsidR="00B62E11" w:rsidRPr="00B62E11">
        <w:rPr>
          <w:lang w:val="fr-FR"/>
        </w:rPr>
        <w:t>’</w:t>
      </w:r>
      <w:r w:rsidRPr="00B62E11">
        <w:rPr>
          <w:lang w:val="fr-FR"/>
        </w:rPr>
        <w:t>agit en l</w:t>
      </w:r>
      <w:r w:rsidR="00B62E11" w:rsidRPr="00B62E11">
        <w:rPr>
          <w:lang w:val="fr-FR"/>
        </w:rPr>
        <w:t>’</w:t>
      </w:r>
      <w:r w:rsidRPr="00B62E11">
        <w:rPr>
          <w:lang w:val="fr-FR"/>
        </w:rPr>
        <w:t>espèce d</w:t>
      </w:r>
      <w:r w:rsidR="00B62E11" w:rsidRPr="00B62E11">
        <w:rPr>
          <w:lang w:val="fr-FR"/>
        </w:rPr>
        <w:t>’</w:t>
      </w:r>
      <w:r w:rsidRPr="00B62E11">
        <w:rPr>
          <w:lang w:val="fr-FR"/>
        </w:rPr>
        <w:t>un cas d</w:t>
      </w:r>
      <w:r w:rsidR="00B62E11" w:rsidRPr="00B62E11">
        <w:rPr>
          <w:lang w:val="fr-FR"/>
        </w:rPr>
        <w:t>’</w:t>
      </w:r>
      <w:r w:rsidRPr="00B62E11">
        <w:rPr>
          <w:lang w:val="fr-FR"/>
        </w:rPr>
        <w:t>expropriation isolée, qui ne se situe pas dans un contexte de réforme économique, sociale ou politique et ne se rattache à aucune autre circonstance particulière. Par conséquent, la Cour n</w:t>
      </w:r>
      <w:r w:rsidR="00B62E11" w:rsidRPr="00B62E11">
        <w:rPr>
          <w:lang w:val="fr-FR"/>
        </w:rPr>
        <w:t>’</w:t>
      </w:r>
      <w:r w:rsidRPr="00B62E11">
        <w:rPr>
          <w:lang w:val="fr-FR"/>
        </w:rPr>
        <w:t>aperçoit aucun objectif légitime « d</w:t>
      </w:r>
      <w:r w:rsidR="00B62E11" w:rsidRPr="00B62E11">
        <w:rPr>
          <w:lang w:val="fr-FR"/>
        </w:rPr>
        <w:t>’</w:t>
      </w:r>
      <w:r w:rsidRPr="00B62E11">
        <w:rPr>
          <w:lang w:val="fr-FR"/>
        </w:rPr>
        <w:t>utilité publique » pouvant justifier un remboursement tellement inférieur à la valeur marchande.</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53</w:t>
      </w:r>
      <w:r w:rsidRPr="00B62E11">
        <w:rPr>
          <w:lang w:val="fr-FR"/>
        </w:rPr>
        <w:fldChar w:fldCharType="end"/>
      </w:r>
      <w:r w:rsidRPr="00B62E11">
        <w:rPr>
          <w:lang w:val="fr-FR"/>
        </w:rPr>
        <w:t>.  Eu égard à l</w:t>
      </w:r>
      <w:r w:rsidR="00B62E11" w:rsidRPr="00B62E11">
        <w:rPr>
          <w:lang w:val="fr-FR"/>
        </w:rPr>
        <w:t>’</w:t>
      </w:r>
      <w:r w:rsidRPr="00B62E11">
        <w:rPr>
          <w:lang w:val="fr-FR"/>
        </w:rPr>
        <w:t>ensemble des considérations qui précèdent, la Cour estime que l</w:t>
      </w:r>
      <w:r w:rsidR="00B62E11" w:rsidRPr="00B62E11">
        <w:rPr>
          <w:lang w:val="fr-FR"/>
        </w:rPr>
        <w:t>’</w:t>
      </w:r>
      <w:r w:rsidRPr="00B62E11">
        <w:rPr>
          <w:lang w:val="fr-FR"/>
        </w:rPr>
        <w:t>indemnisation accordée au requérant n</w:t>
      </w:r>
      <w:r w:rsidR="00B62E11" w:rsidRPr="00B62E11">
        <w:rPr>
          <w:lang w:val="fr-FR"/>
        </w:rPr>
        <w:t>’</w:t>
      </w:r>
      <w:r w:rsidRPr="00B62E11">
        <w:rPr>
          <w:lang w:val="fr-FR"/>
        </w:rPr>
        <w:t>était pas adéquate, vu son faible montant et l</w:t>
      </w:r>
      <w:r w:rsidR="00B62E11" w:rsidRPr="00B62E11">
        <w:rPr>
          <w:lang w:val="fr-FR"/>
        </w:rPr>
        <w:t>’</w:t>
      </w:r>
      <w:r w:rsidRPr="00B62E11">
        <w:rPr>
          <w:lang w:val="fr-FR"/>
        </w:rPr>
        <w:t>absence de raisons d</w:t>
      </w:r>
      <w:r w:rsidR="00B62E11" w:rsidRPr="00B62E11">
        <w:rPr>
          <w:lang w:val="fr-FR"/>
        </w:rPr>
        <w:t>’</w:t>
      </w:r>
      <w:r w:rsidRPr="00B62E11">
        <w:rPr>
          <w:lang w:val="fr-FR"/>
        </w:rPr>
        <w:t>utilité publique pouvant légitimer une indemnisation tellement inférieure à la valeur marchande du bien. Il s</w:t>
      </w:r>
      <w:r w:rsidR="00B62E11" w:rsidRPr="00B62E11">
        <w:rPr>
          <w:lang w:val="fr-FR"/>
        </w:rPr>
        <w:t>’</w:t>
      </w:r>
      <w:r w:rsidRPr="00B62E11">
        <w:rPr>
          <w:lang w:val="fr-FR"/>
        </w:rPr>
        <w:t>ensuit que l</w:t>
      </w:r>
      <w:r w:rsidR="00B62E11" w:rsidRPr="00B62E11">
        <w:rPr>
          <w:lang w:val="fr-FR"/>
        </w:rPr>
        <w:t>’</w:t>
      </w:r>
      <w:r w:rsidRPr="00B62E11">
        <w:rPr>
          <w:lang w:val="fr-FR"/>
        </w:rPr>
        <w:t>intéressé a dû supporter une charge disproportionnée et excessive qui ne peut être justifiée par un intérêt général légitime poursuivi par les autorités (</w:t>
      </w:r>
      <w:r w:rsidRPr="00B62E11">
        <w:rPr>
          <w:i/>
          <w:lang w:val="fr-FR"/>
        </w:rPr>
        <w:t>Scordino c. Italie</w:t>
      </w:r>
      <w:r w:rsidRPr="00B62E11">
        <w:rPr>
          <w:lang w:val="fr-FR"/>
        </w:rPr>
        <w:t xml:space="preserve"> </w:t>
      </w:r>
      <w:r w:rsidRPr="00B62E11">
        <w:rPr>
          <w:i/>
          <w:lang w:val="fr-FR"/>
        </w:rPr>
        <w:t>(n</w:t>
      </w:r>
      <w:r w:rsidRPr="00B62E11">
        <w:rPr>
          <w:i/>
          <w:vertAlign w:val="superscript"/>
          <w:lang w:val="fr-FR"/>
        </w:rPr>
        <w:t>o</w:t>
      </w:r>
      <w:r w:rsidRPr="00B62E11">
        <w:rPr>
          <w:i/>
          <w:lang w:val="fr-FR"/>
        </w:rPr>
        <w:t xml:space="preserve"> 1),</w:t>
      </w:r>
      <w:r w:rsidRPr="00B62E11">
        <w:rPr>
          <w:lang w:val="fr-FR"/>
        </w:rPr>
        <w:t xml:space="preserve"> précité, §§ 99-103).</w:t>
      </w:r>
    </w:p>
    <w:p w:rsidR="007B2119" w:rsidRPr="00B62E11" w:rsidRDefault="007B2119" w:rsidP="00B62E11">
      <w:pPr>
        <w:pStyle w:val="ECHRPara"/>
        <w:rPr>
          <w:lang w:val="fr-FR"/>
        </w:rPr>
      </w:pPr>
      <w:r w:rsidRPr="00B62E11">
        <w:rPr>
          <w:lang w:val="fr-FR"/>
        </w:rPr>
        <w:lastRenderedPageBreak/>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54</w:t>
      </w:r>
      <w:r w:rsidRPr="00B62E11">
        <w:rPr>
          <w:lang w:val="fr-FR"/>
        </w:rPr>
        <w:fldChar w:fldCharType="end"/>
      </w:r>
      <w:r w:rsidRPr="00B62E11">
        <w:rPr>
          <w:lang w:val="fr-FR"/>
        </w:rPr>
        <w:t>.  Partant, il y a eu violation de l</w:t>
      </w:r>
      <w:r w:rsidR="00B62E11" w:rsidRPr="00B62E11">
        <w:rPr>
          <w:lang w:val="fr-FR"/>
        </w:rPr>
        <w:t>’</w:t>
      </w:r>
      <w:r w:rsidRPr="00B62E11">
        <w:rPr>
          <w:lang w:val="fr-FR"/>
        </w:rPr>
        <w:t>article 1 du Protocole n</w:t>
      </w:r>
      <w:r w:rsidRPr="00B62E11">
        <w:rPr>
          <w:vertAlign w:val="superscript"/>
          <w:lang w:val="fr-FR"/>
        </w:rPr>
        <w:t>o</w:t>
      </w:r>
      <w:r w:rsidRPr="00B62E11">
        <w:rPr>
          <w:lang w:val="fr-FR"/>
        </w:rPr>
        <w:t xml:space="preserve"> 1.</w:t>
      </w:r>
    </w:p>
    <w:p w:rsidR="007B2119" w:rsidRPr="00B62E11" w:rsidRDefault="007B2119" w:rsidP="00B62E11">
      <w:pPr>
        <w:pStyle w:val="ECHRHeading1"/>
        <w:rPr>
          <w:lang w:val="fr-FR"/>
        </w:rPr>
      </w:pPr>
      <w:r w:rsidRPr="00B62E11">
        <w:rPr>
          <w:lang w:val="fr-FR"/>
        </w:rPr>
        <w:t>IV.  SUR LA VIOLATION ALLÉGUÉE DE L</w:t>
      </w:r>
      <w:r w:rsidR="00B62E11" w:rsidRPr="00B62E11">
        <w:rPr>
          <w:lang w:val="fr-FR"/>
        </w:rPr>
        <w:t>’</w:t>
      </w:r>
      <w:r w:rsidRPr="00B62E11">
        <w:rPr>
          <w:lang w:val="fr-FR"/>
        </w:rPr>
        <w:t>ARTICLE 6 DE LA CONVENTION</w:t>
      </w:r>
    </w:p>
    <w:p w:rsidR="007B2119" w:rsidRPr="00B62E11" w:rsidRDefault="007B2119" w:rsidP="00B62E11">
      <w:pPr>
        <w:pStyle w:val="ECHRPara"/>
        <w:rPr>
          <w:lang w:val="fr-FR"/>
        </w:rPr>
      </w:pPr>
      <w:r w:rsidRPr="00B62E11">
        <w:fldChar w:fldCharType="begin"/>
      </w:r>
      <w:r w:rsidRPr="00B62E11">
        <w:rPr>
          <w:lang w:val="fr-FR"/>
        </w:rPr>
        <w:instrText xml:space="preserve"> SEQ level0 \*arabic </w:instrText>
      </w:r>
      <w:r w:rsidRPr="00B62E11">
        <w:fldChar w:fldCharType="separate"/>
      </w:r>
      <w:r w:rsidR="00B62E11" w:rsidRPr="00B62E11">
        <w:rPr>
          <w:noProof/>
          <w:lang w:val="fr-FR"/>
        </w:rPr>
        <w:t>55</w:t>
      </w:r>
      <w:r w:rsidRPr="00B62E11">
        <w:fldChar w:fldCharType="end"/>
      </w:r>
      <w:r w:rsidRPr="00B62E11">
        <w:rPr>
          <w:lang w:val="fr-FR"/>
        </w:rPr>
        <w:t>.  Le requérant allègue la violation à son droit à un procès équitable tel que garanti par l</w:t>
      </w:r>
      <w:r w:rsidR="00B62E11" w:rsidRPr="00B62E11">
        <w:rPr>
          <w:lang w:val="fr-FR"/>
        </w:rPr>
        <w:t>’</w:t>
      </w:r>
      <w:r w:rsidRPr="00B62E11">
        <w:rPr>
          <w:lang w:val="fr-FR"/>
        </w:rPr>
        <w:t>article 6 § 1 de la Convention qui, en ses passages pertinents, dispose :</w:t>
      </w:r>
    </w:p>
    <w:p w:rsidR="007B2119" w:rsidRPr="00B62E11" w:rsidRDefault="007B2119" w:rsidP="00B62E11">
      <w:pPr>
        <w:pStyle w:val="ECHRParaQuote"/>
        <w:rPr>
          <w:lang w:val="fr-FR"/>
        </w:rPr>
      </w:pPr>
      <w:r w:rsidRPr="00B62E11">
        <w:rPr>
          <w:lang w:val="fr-FR"/>
        </w:rPr>
        <w:t>« 1.  Toute personne a droit à ce que sa cause soit entendue équitablement (...) par un tribunal (...), qui décidera (...) des contestations sur ses droits et obligations de caractère civil (...) ».</w:t>
      </w:r>
    </w:p>
    <w:p w:rsidR="007B2119" w:rsidRPr="00B62E11" w:rsidRDefault="007B2119" w:rsidP="00B62E11">
      <w:pPr>
        <w:pStyle w:val="ECHRPara"/>
        <w:rPr>
          <w:lang w:val="fr-FR"/>
        </w:rPr>
      </w:pPr>
      <w:r w:rsidRPr="00B62E11">
        <w:fldChar w:fldCharType="begin"/>
      </w:r>
      <w:r w:rsidRPr="00B62E11">
        <w:rPr>
          <w:lang w:val="fr-FR"/>
        </w:rPr>
        <w:instrText xml:space="preserve"> SEQ level0 \*arabic </w:instrText>
      </w:r>
      <w:r w:rsidRPr="00B62E11">
        <w:fldChar w:fldCharType="separate"/>
      </w:r>
      <w:r w:rsidR="00B62E11" w:rsidRPr="00B62E11">
        <w:rPr>
          <w:noProof/>
          <w:lang w:val="fr-FR"/>
        </w:rPr>
        <w:t>56</w:t>
      </w:r>
      <w:r w:rsidRPr="00B62E11">
        <w:fldChar w:fldCharType="end"/>
      </w:r>
      <w:r w:rsidRPr="00B62E11">
        <w:rPr>
          <w:lang w:val="fr-FR"/>
        </w:rPr>
        <w:t>.  Le Gouvernement conteste cette thèse.</w:t>
      </w:r>
    </w:p>
    <w:p w:rsidR="007B2119" w:rsidRPr="00B62E11" w:rsidRDefault="007B2119" w:rsidP="00B62E11">
      <w:pPr>
        <w:pStyle w:val="ECHRHeading2"/>
        <w:rPr>
          <w:lang w:val="fr-FR"/>
        </w:rPr>
      </w:pPr>
      <w:r w:rsidRPr="00B62E11">
        <w:rPr>
          <w:lang w:val="fr-FR"/>
        </w:rPr>
        <w:t>A.  Sur la recevabilité</w:t>
      </w:r>
    </w:p>
    <w:p w:rsidR="007B2119" w:rsidRPr="00B62E11" w:rsidRDefault="007B2119" w:rsidP="00B62E11">
      <w:pPr>
        <w:pStyle w:val="ECHRPara"/>
        <w:rPr>
          <w:color w:val="000000"/>
          <w:szCs w:val="24"/>
          <w:lang w:val="fr-FR" w:eastAsia="en-GB"/>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57</w:t>
      </w:r>
      <w:r w:rsidRPr="00B62E11">
        <w:rPr>
          <w:lang w:val="fr-FR"/>
        </w:rPr>
        <w:fldChar w:fldCharType="end"/>
      </w:r>
      <w:r w:rsidRPr="00B62E11">
        <w:rPr>
          <w:lang w:val="fr-FR"/>
        </w:rPr>
        <w:t>.  </w:t>
      </w:r>
      <w:r w:rsidRPr="00B62E11">
        <w:rPr>
          <w:lang w:val="fr-FR" w:eastAsia="en-GB"/>
        </w:rPr>
        <w:t>La Cour constate que ce grief n</w:t>
      </w:r>
      <w:r w:rsidR="00B62E11" w:rsidRPr="00B62E11">
        <w:rPr>
          <w:lang w:val="fr-FR" w:eastAsia="en-GB"/>
        </w:rPr>
        <w:t>’</w:t>
      </w:r>
      <w:r w:rsidRPr="00B62E11">
        <w:rPr>
          <w:lang w:val="fr-FR" w:eastAsia="en-GB"/>
        </w:rPr>
        <w:t>est pas manifestement mal fondé au sens de l</w:t>
      </w:r>
      <w:r w:rsidR="00B62E11" w:rsidRPr="00B62E11">
        <w:rPr>
          <w:lang w:val="fr-FR" w:eastAsia="en-GB"/>
        </w:rPr>
        <w:t>’</w:t>
      </w:r>
      <w:r w:rsidRPr="00B62E11">
        <w:rPr>
          <w:lang w:val="fr-FR" w:eastAsia="en-GB"/>
        </w:rPr>
        <w:t>article 35 § 3 de la Convention et ne se heurte à aucun autre motif d</w:t>
      </w:r>
      <w:r w:rsidR="00B62E11" w:rsidRPr="00B62E11">
        <w:rPr>
          <w:lang w:val="fr-FR" w:eastAsia="en-GB"/>
        </w:rPr>
        <w:t>’</w:t>
      </w:r>
      <w:r w:rsidRPr="00B62E11">
        <w:rPr>
          <w:lang w:val="fr-FR" w:eastAsia="en-GB"/>
        </w:rPr>
        <w:t>irrecevabilité. Il y a donc lieu de le déclarer recevable.</w:t>
      </w:r>
    </w:p>
    <w:p w:rsidR="007B2119" w:rsidRPr="00B62E11" w:rsidRDefault="007B2119" w:rsidP="00B62E11">
      <w:pPr>
        <w:pStyle w:val="ECHRHeading2"/>
        <w:rPr>
          <w:lang w:val="fr-FR"/>
        </w:rPr>
      </w:pPr>
      <w:r w:rsidRPr="00B62E11">
        <w:rPr>
          <w:lang w:val="fr-FR"/>
        </w:rPr>
        <w:t>B.  Sur le fond</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58</w:t>
      </w:r>
      <w:r w:rsidRPr="00B62E11">
        <w:rPr>
          <w:lang w:val="fr-FR"/>
        </w:rPr>
        <w:fldChar w:fldCharType="end"/>
      </w:r>
      <w:r w:rsidRPr="00B62E11">
        <w:rPr>
          <w:lang w:val="fr-FR"/>
        </w:rPr>
        <w:t>.  Le requérant se plaint que les juridictions nationales n</w:t>
      </w:r>
      <w:r w:rsidR="00B62E11" w:rsidRPr="00B62E11">
        <w:rPr>
          <w:lang w:val="fr-FR"/>
        </w:rPr>
        <w:t>’</w:t>
      </w:r>
      <w:r w:rsidRPr="00B62E11">
        <w:rPr>
          <w:lang w:val="fr-FR"/>
        </w:rPr>
        <w:t xml:space="preserve">ont pas évalué son terrain </w:t>
      </w:r>
      <w:r w:rsidRPr="00B62E11">
        <w:rPr>
          <w:i/>
          <w:lang w:val="fr-FR"/>
        </w:rPr>
        <w:t>in concreto</w:t>
      </w:r>
      <w:r w:rsidRPr="00B62E11">
        <w:rPr>
          <w:lang w:val="fr-FR"/>
        </w:rPr>
        <w:t xml:space="preserve"> et qu</w:t>
      </w:r>
      <w:r w:rsidR="00B62E11" w:rsidRPr="00B62E11">
        <w:rPr>
          <w:lang w:val="fr-FR"/>
        </w:rPr>
        <w:t>’</w:t>
      </w:r>
      <w:r w:rsidRPr="00B62E11">
        <w:rPr>
          <w:lang w:val="fr-FR"/>
        </w:rPr>
        <w:t>elles ont basé leurs décisions sur un raisonnement abstrait au sens de la loi n</w:t>
      </w:r>
      <w:r w:rsidR="00EE6FC9" w:rsidRPr="00B62E11">
        <w:rPr>
          <w:vertAlign w:val="superscript"/>
          <w:lang w:val="fr-FR"/>
        </w:rPr>
        <w:t>o</w:t>
      </w:r>
      <w:r w:rsidRPr="00B62E11">
        <w:rPr>
          <w:lang w:val="fr-FR"/>
        </w:rPr>
        <w:t xml:space="preserve"> 359 de 1992. Elles se sont en outre appuyées sur l</w:t>
      </w:r>
      <w:r w:rsidR="00B62E11" w:rsidRPr="00B62E11">
        <w:rPr>
          <w:lang w:val="fr-FR"/>
        </w:rPr>
        <w:t>’</w:t>
      </w:r>
      <w:r w:rsidRPr="00B62E11">
        <w:rPr>
          <w:lang w:val="fr-FR"/>
        </w:rPr>
        <w:t>estimation du fond du voisin, au lieu de prendre en compte les expertise d</w:t>
      </w:r>
      <w:r w:rsidR="00B62E11" w:rsidRPr="00B62E11">
        <w:rPr>
          <w:lang w:val="fr-FR"/>
        </w:rPr>
        <w:t>’</w:t>
      </w:r>
      <w:r w:rsidRPr="00B62E11">
        <w:rPr>
          <w:lang w:val="fr-FR"/>
        </w:rPr>
        <w:t>office ordonnées dans le cadre de la procédure intentée par le requérant.</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59</w:t>
      </w:r>
      <w:r w:rsidRPr="00B62E11">
        <w:rPr>
          <w:lang w:val="fr-FR"/>
        </w:rPr>
        <w:fldChar w:fldCharType="end"/>
      </w:r>
      <w:r w:rsidRPr="00B62E11">
        <w:rPr>
          <w:lang w:val="fr-FR"/>
        </w:rPr>
        <w:t>.  Le Gouvernement observe que ces griefs se confondent avec ceux qui ont été soulevés sous l</w:t>
      </w:r>
      <w:r w:rsidR="00B62E11" w:rsidRPr="00B62E11">
        <w:rPr>
          <w:lang w:val="fr-FR"/>
        </w:rPr>
        <w:t>’</w:t>
      </w:r>
      <w:r w:rsidRPr="00B62E11">
        <w:rPr>
          <w:lang w:val="fr-FR"/>
        </w:rPr>
        <w:t>angle de l</w:t>
      </w:r>
      <w:r w:rsidR="00B62E11" w:rsidRPr="00B62E11">
        <w:rPr>
          <w:lang w:val="fr-FR"/>
        </w:rPr>
        <w:t>’</w:t>
      </w:r>
      <w:r w:rsidRPr="00B62E11">
        <w:rPr>
          <w:lang w:val="fr-FR"/>
        </w:rPr>
        <w:t>article 1 du Protocole n</w:t>
      </w:r>
      <w:r w:rsidR="00EE6FC9" w:rsidRPr="00B62E11">
        <w:rPr>
          <w:vertAlign w:val="superscript"/>
          <w:lang w:val="fr-FR"/>
        </w:rPr>
        <w:t>o</w:t>
      </w:r>
      <w:r w:rsidRPr="00B62E11">
        <w:rPr>
          <w:lang w:val="fr-FR"/>
        </w:rPr>
        <w:t xml:space="preserve"> 1.</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60</w:t>
      </w:r>
      <w:r w:rsidRPr="00B62E11">
        <w:rPr>
          <w:lang w:val="fr-FR"/>
        </w:rPr>
        <w:fldChar w:fldCharType="end"/>
      </w:r>
      <w:r w:rsidRPr="00B62E11">
        <w:rPr>
          <w:lang w:val="fr-FR"/>
        </w:rPr>
        <w:t>.  La Cour estime que les griefs du requérant à cet égard se confondent</w:t>
      </w:r>
      <w:r w:rsidR="00B62E11" w:rsidRPr="00B62E11">
        <w:rPr>
          <w:lang w:val="fr-FR"/>
        </w:rPr>
        <w:t xml:space="preserve"> </w:t>
      </w:r>
      <w:r w:rsidRPr="00B62E11">
        <w:rPr>
          <w:lang w:val="fr-FR"/>
        </w:rPr>
        <w:t>avec celui qu</w:t>
      </w:r>
      <w:r w:rsidR="00B62E11" w:rsidRPr="00B62E11">
        <w:rPr>
          <w:lang w:val="fr-FR"/>
        </w:rPr>
        <w:t>’</w:t>
      </w:r>
      <w:r w:rsidRPr="00B62E11">
        <w:rPr>
          <w:lang w:val="fr-FR"/>
        </w:rPr>
        <w:t>il tire, sous l</w:t>
      </w:r>
      <w:r w:rsidR="00B62E11" w:rsidRPr="00B62E11">
        <w:rPr>
          <w:lang w:val="fr-FR"/>
        </w:rPr>
        <w:t>’</w:t>
      </w:r>
      <w:r w:rsidRPr="00B62E11">
        <w:rPr>
          <w:lang w:val="fr-FR"/>
        </w:rPr>
        <w:t>angle de l</w:t>
      </w:r>
      <w:r w:rsidR="00B62E11" w:rsidRPr="00B62E11">
        <w:rPr>
          <w:lang w:val="fr-FR"/>
        </w:rPr>
        <w:t>’</w:t>
      </w:r>
      <w:r w:rsidRPr="00B62E11">
        <w:rPr>
          <w:lang w:val="fr-FR"/>
        </w:rPr>
        <w:t>article 1 du Protocole n</w:t>
      </w:r>
      <w:r w:rsidR="00EE6FC9" w:rsidRPr="00B62E11">
        <w:rPr>
          <w:vertAlign w:val="superscript"/>
          <w:lang w:val="fr-FR"/>
        </w:rPr>
        <w:t>o</w:t>
      </w:r>
      <w:r w:rsidRPr="00B62E11">
        <w:rPr>
          <w:lang w:val="fr-FR"/>
        </w:rPr>
        <w:t xml:space="preserve"> 1, du caractère inadéquat de l</w:t>
      </w:r>
      <w:r w:rsidR="00B62E11" w:rsidRPr="00B62E11">
        <w:rPr>
          <w:lang w:val="fr-FR"/>
        </w:rPr>
        <w:t>’</w:t>
      </w:r>
      <w:r w:rsidRPr="00B62E11">
        <w:rPr>
          <w:lang w:val="fr-FR"/>
        </w:rPr>
        <w:t>indemnité d</w:t>
      </w:r>
      <w:r w:rsidR="00B62E11" w:rsidRPr="00B62E11">
        <w:rPr>
          <w:lang w:val="fr-FR"/>
        </w:rPr>
        <w:t>’</w:t>
      </w:r>
      <w:r w:rsidRPr="00B62E11">
        <w:rPr>
          <w:lang w:val="fr-FR"/>
        </w:rPr>
        <w:t>expropriation et des modalités de calcul de celle-ci. Eu égard aux conclusions formulées au paragraphe 5</w:t>
      </w:r>
      <w:r w:rsidR="00EE6FC9" w:rsidRPr="00B62E11">
        <w:rPr>
          <w:lang w:val="fr-FR"/>
        </w:rPr>
        <w:t>4</w:t>
      </w:r>
      <w:r w:rsidRPr="00B62E11">
        <w:rPr>
          <w:lang w:val="fr-FR"/>
        </w:rPr>
        <w:t xml:space="preserve"> ci-dessus, la Cour n</w:t>
      </w:r>
      <w:r w:rsidR="00B62E11" w:rsidRPr="00B62E11">
        <w:rPr>
          <w:lang w:val="fr-FR"/>
        </w:rPr>
        <w:t>’</w:t>
      </w:r>
      <w:r w:rsidRPr="00B62E11">
        <w:rPr>
          <w:lang w:val="fr-FR"/>
        </w:rPr>
        <w:t>estime pas nécessaire d</w:t>
      </w:r>
      <w:r w:rsidR="00B62E11" w:rsidRPr="00B62E11">
        <w:rPr>
          <w:lang w:val="fr-FR"/>
        </w:rPr>
        <w:t>’</w:t>
      </w:r>
      <w:r w:rsidRPr="00B62E11">
        <w:rPr>
          <w:lang w:val="fr-FR"/>
        </w:rPr>
        <w:t>examiner séparément sous l</w:t>
      </w:r>
      <w:r w:rsidR="00B62E11" w:rsidRPr="00B62E11">
        <w:rPr>
          <w:lang w:val="fr-FR"/>
        </w:rPr>
        <w:t>’</w:t>
      </w:r>
      <w:r w:rsidRPr="00B62E11">
        <w:rPr>
          <w:lang w:val="fr-FR"/>
        </w:rPr>
        <w:t>angle de l</w:t>
      </w:r>
      <w:r w:rsidR="00B62E11" w:rsidRPr="00B62E11">
        <w:rPr>
          <w:lang w:val="fr-FR"/>
        </w:rPr>
        <w:t>’</w:t>
      </w:r>
      <w:r w:rsidRPr="00B62E11">
        <w:rPr>
          <w:lang w:val="fr-FR"/>
        </w:rPr>
        <w:t>article 6 de la Convention cette partie de la requête.</w:t>
      </w:r>
    </w:p>
    <w:p w:rsidR="007B2119" w:rsidRPr="00B62E11" w:rsidRDefault="007B2119" w:rsidP="00B62E11">
      <w:pPr>
        <w:pStyle w:val="ECHRHeading1"/>
        <w:rPr>
          <w:lang w:val="fr-FR"/>
        </w:rPr>
      </w:pPr>
      <w:r w:rsidRPr="00B62E11">
        <w:rPr>
          <w:lang w:val="fr-FR"/>
        </w:rPr>
        <w:t>V.  SUR L</w:t>
      </w:r>
      <w:r w:rsidR="00B62E11" w:rsidRPr="00B62E11">
        <w:rPr>
          <w:lang w:val="fr-FR"/>
        </w:rPr>
        <w:t>’</w:t>
      </w:r>
      <w:r w:rsidRPr="00B62E11">
        <w:rPr>
          <w:lang w:val="fr-FR"/>
        </w:rPr>
        <w:t>APPLICATION DE L</w:t>
      </w:r>
      <w:r w:rsidR="00B62E11" w:rsidRPr="00B62E11">
        <w:rPr>
          <w:lang w:val="fr-FR"/>
        </w:rPr>
        <w:t>’</w:t>
      </w:r>
      <w:r w:rsidRPr="00B62E11">
        <w:rPr>
          <w:lang w:val="fr-FR"/>
        </w:rPr>
        <w:t>ARTICLE 41 DE LA CONVENTION</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61</w:t>
      </w:r>
      <w:r w:rsidRPr="00B62E11">
        <w:rPr>
          <w:lang w:val="fr-FR"/>
        </w:rPr>
        <w:fldChar w:fldCharType="end"/>
      </w:r>
      <w:r w:rsidRPr="00B62E11">
        <w:rPr>
          <w:lang w:val="fr-FR"/>
        </w:rPr>
        <w:t>.  Aux termes de l</w:t>
      </w:r>
      <w:r w:rsidR="00B62E11" w:rsidRPr="00B62E11">
        <w:rPr>
          <w:lang w:val="fr-FR"/>
        </w:rPr>
        <w:t>’</w:t>
      </w:r>
      <w:r w:rsidRPr="00B62E11">
        <w:rPr>
          <w:lang w:val="fr-FR"/>
        </w:rPr>
        <w:t>article 41 de la Convention,</w:t>
      </w:r>
    </w:p>
    <w:p w:rsidR="007B2119" w:rsidRPr="00B62E11" w:rsidRDefault="007B2119" w:rsidP="00B62E11">
      <w:pPr>
        <w:pStyle w:val="ECHRParaQuote"/>
        <w:rPr>
          <w:lang w:val="fr-FR"/>
        </w:rPr>
      </w:pPr>
      <w:r w:rsidRPr="00B62E11">
        <w:rPr>
          <w:lang w:val="fr-FR"/>
        </w:rPr>
        <w:t>« Si la Cour déclare qu</w:t>
      </w:r>
      <w:r w:rsidR="00B62E11" w:rsidRPr="00B62E11">
        <w:rPr>
          <w:lang w:val="fr-FR"/>
        </w:rPr>
        <w:t>’</w:t>
      </w:r>
      <w:r w:rsidRPr="00B62E11">
        <w:rPr>
          <w:lang w:val="fr-FR"/>
        </w:rPr>
        <w:t>il y a eu violation de la Convention ou de ses Protocoles, et si le droit interne de la Haute Partie contractante ne permet d</w:t>
      </w:r>
      <w:r w:rsidR="00B62E11" w:rsidRPr="00B62E11">
        <w:rPr>
          <w:lang w:val="fr-FR"/>
        </w:rPr>
        <w:t>’</w:t>
      </w:r>
      <w:r w:rsidRPr="00B62E11">
        <w:rPr>
          <w:lang w:val="fr-FR"/>
        </w:rPr>
        <w:t>effacer qu</w:t>
      </w:r>
      <w:r w:rsidR="00B62E11" w:rsidRPr="00B62E11">
        <w:rPr>
          <w:lang w:val="fr-FR"/>
        </w:rPr>
        <w:t>’</w:t>
      </w:r>
      <w:r w:rsidRPr="00B62E11">
        <w:rPr>
          <w:lang w:val="fr-FR"/>
        </w:rPr>
        <w:t>imparfaitement les conséquences de cette violation, la Cour accorde à la partie lésée, s</w:t>
      </w:r>
      <w:r w:rsidR="00B62E11" w:rsidRPr="00B62E11">
        <w:rPr>
          <w:lang w:val="fr-FR"/>
        </w:rPr>
        <w:t>’</w:t>
      </w:r>
      <w:r w:rsidRPr="00B62E11">
        <w:rPr>
          <w:lang w:val="fr-FR"/>
        </w:rPr>
        <w:t>il y a lieu, une satisfaction équitable. »</w:t>
      </w:r>
    </w:p>
    <w:p w:rsidR="00B62E11" w:rsidRPr="00B62E11" w:rsidRDefault="007B2119" w:rsidP="00B62E11">
      <w:pPr>
        <w:pStyle w:val="ECHRHeading2"/>
        <w:rPr>
          <w:lang w:val="fr-FR"/>
        </w:rPr>
      </w:pPr>
      <w:r w:rsidRPr="00B62E11">
        <w:rPr>
          <w:lang w:val="fr-FR"/>
        </w:rPr>
        <w:lastRenderedPageBreak/>
        <w:t>A.  Dommage</w:t>
      </w:r>
    </w:p>
    <w:p w:rsidR="00B62E11"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62</w:t>
      </w:r>
      <w:r w:rsidRPr="00B62E11">
        <w:rPr>
          <w:lang w:val="fr-FR"/>
        </w:rPr>
        <w:fldChar w:fldCharType="end"/>
      </w:r>
      <w:r w:rsidRPr="00B62E11">
        <w:rPr>
          <w:lang w:val="fr-FR"/>
        </w:rPr>
        <w:t>.  S</w:t>
      </w:r>
      <w:r w:rsidR="00B62E11" w:rsidRPr="00B62E11">
        <w:rPr>
          <w:lang w:val="fr-FR"/>
        </w:rPr>
        <w:t>’</w:t>
      </w:r>
      <w:r w:rsidRPr="00B62E11">
        <w:rPr>
          <w:lang w:val="fr-FR"/>
        </w:rPr>
        <w:t>agissant du préjudice matériel, le requérant réclame en premier lieu une somme correspondant à la différence entre la valeur marchande du terrain au moment de l</w:t>
      </w:r>
      <w:r w:rsidR="00B62E11" w:rsidRPr="00B62E11">
        <w:rPr>
          <w:lang w:val="fr-FR"/>
        </w:rPr>
        <w:t>’</w:t>
      </w:r>
      <w:r w:rsidRPr="00B62E11">
        <w:rPr>
          <w:lang w:val="fr-FR"/>
        </w:rPr>
        <w:t>expropriation et l</w:t>
      </w:r>
      <w:r w:rsidR="00B62E11" w:rsidRPr="00B62E11">
        <w:rPr>
          <w:lang w:val="fr-FR"/>
        </w:rPr>
        <w:t>’</w:t>
      </w:r>
      <w:r w:rsidRPr="00B62E11">
        <w:rPr>
          <w:lang w:val="fr-FR"/>
        </w:rPr>
        <w:t>indemnité obtenue au plan national, plus indexation et intérêts. Pour déterminer la valeur du bien en</w:t>
      </w:r>
      <w:r w:rsidR="00EE6FC9" w:rsidRPr="00B62E11">
        <w:rPr>
          <w:lang w:val="fr-FR"/>
        </w:rPr>
        <w:t> </w:t>
      </w:r>
      <w:r w:rsidRPr="00B62E11">
        <w:rPr>
          <w:lang w:val="fr-FR"/>
        </w:rPr>
        <w:t>1992, il demande à la Cour de se baser sur la première expertise d</w:t>
      </w:r>
      <w:r w:rsidR="00B62E11" w:rsidRPr="00B62E11">
        <w:rPr>
          <w:lang w:val="fr-FR"/>
        </w:rPr>
        <w:t>’</w:t>
      </w:r>
      <w:r w:rsidRPr="00B62E11">
        <w:rPr>
          <w:lang w:val="fr-FR"/>
        </w:rPr>
        <w:t>office, ou, subsidiairement, sur la deuxième expertise d</w:t>
      </w:r>
      <w:r w:rsidR="00B62E11" w:rsidRPr="00B62E11">
        <w:rPr>
          <w:lang w:val="fr-FR"/>
        </w:rPr>
        <w:t>’</w:t>
      </w:r>
      <w:r w:rsidRPr="00B62E11">
        <w:rPr>
          <w:lang w:val="fr-FR"/>
        </w:rPr>
        <w:t>office.</w:t>
      </w:r>
    </w:p>
    <w:p w:rsidR="00B62E11"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63</w:t>
      </w:r>
      <w:r w:rsidRPr="00B62E11">
        <w:rPr>
          <w:lang w:val="fr-FR"/>
        </w:rPr>
        <w:fldChar w:fldCharType="end"/>
      </w:r>
      <w:r w:rsidRPr="00B62E11">
        <w:rPr>
          <w:lang w:val="fr-FR"/>
        </w:rPr>
        <w:t>.  Observant ensuite que l</w:t>
      </w:r>
      <w:r w:rsidR="00B62E11" w:rsidRPr="00B62E11">
        <w:rPr>
          <w:lang w:val="fr-FR"/>
        </w:rPr>
        <w:t>’</w:t>
      </w:r>
      <w:r w:rsidRPr="00B62E11">
        <w:rPr>
          <w:lang w:val="fr-FR"/>
        </w:rPr>
        <w:t xml:space="preserve">administration publique a exploité le potentiel constructible de son terrain, en y érigeant notamment des espaces commerciales qui ont selon lui rapporté à la ville 1 500 000 </w:t>
      </w:r>
      <w:r w:rsidR="00EE6FC9" w:rsidRPr="00B62E11">
        <w:rPr>
          <w:lang w:val="fr-FR"/>
        </w:rPr>
        <w:t>euros (</w:t>
      </w:r>
      <w:r w:rsidRPr="00B62E11">
        <w:rPr>
          <w:lang w:val="fr-FR"/>
        </w:rPr>
        <w:t>EUR</w:t>
      </w:r>
      <w:r w:rsidR="00EE6FC9" w:rsidRPr="00B62E11">
        <w:rPr>
          <w:lang w:val="fr-FR"/>
        </w:rPr>
        <w:t>)</w:t>
      </w:r>
      <w:r w:rsidRPr="00B62E11">
        <w:rPr>
          <w:lang w:val="fr-FR"/>
        </w:rPr>
        <w:t>, le requérant sollicite en outre le versement de 500 000 EUR.</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64</w:t>
      </w:r>
      <w:r w:rsidRPr="00B62E11">
        <w:rPr>
          <w:lang w:val="fr-FR"/>
        </w:rPr>
        <w:fldChar w:fldCharType="end"/>
      </w:r>
      <w:r w:rsidRPr="00B62E11">
        <w:rPr>
          <w:lang w:val="fr-FR"/>
        </w:rPr>
        <w:t>.  Quant au préjudice moral, le requérant sollicite le versement de 200 000 EUR, étant donné qu</w:t>
      </w:r>
      <w:r w:rsidR="00B62E11" w:rsidRPr="00B62E11">
        <w:rPr>
          <w:lang w:val="fr-FR"/>
        </w:rPr>
        <w:t>’</w:t>
      </w:r>
      <w:r w:rsidRPr="00B62E11">
        <w:rPr>
          <w:lang w:val="fr-FR"/>
        </w:rPr>
        <w:t>il s</w:t>
      </w:r>
      <w:r w:rsidR="00B62E11" w:rsidRPr="00B62E11">
        <w:rPr>
          <w:lang w:val="fr-FR"/>
        </w:rPr>
        <w:t>’</w:t>
      </w:r>
      <w:r w:rsidRPr="00B62E11">
        <w:rPr>
          <w:lang w:val="fr-FR"/>
        </w:rPr>
        <w:t>agit de l</w:t>
      </w:r>
      <w:r w:rsidR="00B62E11" w:rsidRPr="00B62E11">
        <w:rPr>
          <w:lang w:val="fr-FR"/>
        </w:rPr>
        <w:t>’</w:t>
      </w:r>
      <w:r w:rsidRPr="00B62E11">
        <w:rPr>
          <w:lang w:val="fr-FR"/>
        </w:rPr>
        <w:t>énième expropriation qu</w:t>
      </w:r>
      <w:r w:rsidR="00B62E11" w:rsidRPr="00B62E11">
        <w:rPr>
          <w:lang w:val="fr-FR"/>
        </w:rPr>
        <w:t>’</w:t>
      </w:r>
      <w:r w:rsidRPr="00B62E11">
        <w:rPr>
          <w:lang w:val="fr-FR"/>
        </w:rPr>
        <w:t>il a subie.</w:t>
      </w:r>
    </w:p>
    <w:p w:rsidR="00B62E11"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65</w:t>
      </w:r>
      <w:r w:rsidRPr="00B62E11">
        <w:rPr>
          <w:lang w:val="fr-FR"/>
        </w:rPr>
        <w:fldChar w:fldCharType="end"/>
      </w:r>
      <w:r w:rsidRPr="00B62E11">
        <w:rPr>
          <w:lang w:val="fr-FR"/>
        </w:rPr>
        <w:t>.  Le Gouvernement s</w:t>
      </w:r>
      <w:r w:rsidR="00B62E11" w:rsidRPr="00B62E11">
        <w:rPr>
          <w:lang w:val="fr-FR"/>
        </w:rPr>
        <w:t>’</w:t>
      </w:r>
      <w:r w:rsidRPr="00B62E11">
        <w:rPr>
          <w:lang w:val="fr-FR"/>
        </w:rPr>
        <w:t>oppose aux prétentions du requérant et soutient que celui-ci n</w:t>
      </w:r>
      <w:r w:rsidR="00B62E11" w:rsidRPr="00B62E11">
        <w:rPr>
          <w:lang w:val="fr-FR"/>
        </w:rPr>
        <w:t>’</w:t>
      </w:r>
      <w:r w:rsidRPr="00B62E11">
        <w:rPr>
          <w:lang w:val="fr-FR"/>
        </w:rPr>
        <w:t>a pas droit à une somme supérieure à celle proposée dans la déclaration unilatérale, à savoir 38 000 EUR, au motif que le terrain litigieux est classé comme agricole par le plan d</w:t>
      </w:r>
      <w:r w:rsidR="00B62E11" w:rsidRPr="00B62E11">
        <w:rPr>
          <w:lang w:val="fr-FR"/>
        </w:rPr>
        <w:t>’</w:t>
      </w:r>
      <w:r w:rsidRPr="00B62E11">
        <w:rPr>
          <w:lang w:val="fr-FR"/>
        </w:rPr>
        <w:t>urbanisme. En outre, le coût de construction des immeubles bâtis par la ville ne saurait pas être dédommagé. En tout état de cause, il faudra déduire la somme déjà perçue par le requérant au niveau national.</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66</w:t>
      </w:r>
      <w:r w:rsidRPr="00B62E11">
        <w:rPr>
          <w:lang w:val="fr-FR"/>
        </w:rPr>
        <w:fldChar w:fldCharType="end"/>
      </w:r>
      <w:r w:rsidRPr="00B62E11">
        <w:rPr>
          <w:lang w:val="fr-FR"/>
        </w:rPr>
        <w:t>.  S</w:t>
      </w:r>
      <w:r w:rsidR="00B62E11" w:rsidRPr="00B62E11">
        <w:rPr>
          <w:lang w:val="fr-FR"/>
        </w:rPr>
        <w:t>’</w:t>
      </w:r>
      <w:r w:rsidRPr="00B62E11">
        <w:rPr>
          <w:lang w:val="fr-FR"/>
        </w:rPr>
        <w:t>agissant du préjudice moral, le Gouvernement juge les prétentions du requérant exorbitantes.</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67</w:t>
      </w:r>
      <w:r w:rsidRPr="00B62E11">
        <w:rPr>
          <w:lang w:val="fr-FR"/>
        </w:rPr>
        <w:fldChar w:fldCharType="end"/>
      </w:r>
      <w:r w:rsidRPr="00B62E11">
        <w:rPr>
          <w:lang w:val="fr-FR"/>
        </w:rPr>
        <w:t>.  La Cour rappelle qu</w:t>
      </w:r>
      <w:r w:rsidR="00B62E11" w:rsidRPr="00B62E11">
        <w:rPr>
          <w:lang w:val="fr-FR"/>
        </w:rPr>
        <w:t>’</w:t>
      </w:r>
      <w:r w:rsidRPr="00B62E11">
        <w:rPr>
          <w:lang w:val="fr-FR"/>
        </w:rPr>
        <w:t>un arrêt constatant une violation entraîne pour l</w:t>
      </w:r>
      <w:r w:rsidR="00B62E11" w:rsidRPr="00B62E11">
        <w:rPr>
          <w:lang w:val="fr-FR"/>
        </w:rPr>
        <w:t>’</w:t>
      </w:r>
      <w:r w:rsidRPr="00B62E11">
        <w:rPr>
          <w:lang w:val="fr-FR"/>
        </w:rPr>
        <w:t>État défendeur l</w:t>
      </w:r>
      <w:r w:rsidR="00B62E11" w:rsidRPr="00B62E11">
        <w:rPr>
          <w:lang w:val="fr-FR"/>
        </w:rPr>
        <w:t>’</w:t>
      </w:r>
      <w:r w:rsidRPr="00B62E11">
        <w:rPr>
          <w:lang w:val="fr-FR"/>
        </w:rPr>
        <w:t>obligation juridique de mettre un terme à la violation et d</w:t>
      </w:r>
      <w:r w:rsidR="00B62E11" w:rsidRPr="00B62E11">
        <w:rPr>
          <w:lang w:val="fr-FR"/>
        </w:rPr>
        <w:t>’</w:t>
      </w:r>
      <w:r w:rsidRPr="00B62E11">
        <w:rPr>
          <w:lang w:val="fr-FR"/>
        </w:rPr>
        <w:t>en effacer les conséquences de manière à rétablir autant que faire se peut la situation antérieure à celle-ci (</w:t>
      </w:r>
      <w:r w:rsidRPr="00B62E11">
        <w:rPr>
          <w:i/>
          <w:lang w:val="fr-FR"/>
        </w:rPr>
        <w:t>Iatridis</w:t>
      </w:r>
      <w:r w:rsidRPr="00B62E11">
        <w:rPr>
          <w:lang w:val="fr-FR"/>
        </w:rPr>
        <w:t xml:space="preserve"> c. Grèce (</w:t>
      </w:r>
      <w:r w:rsidR="003656CF" w:rsidRPr="00B62E11">
        <w:rPr>
          <w:lang w:val="fr-FR"/>
        </w:rPr>
        <w:t>satisfaction équitable) [GC], n</w:t>
      </w:r>
      <w:r w:rsidR="003656CF" w:rsidRPr="00B62E11">
        <w:rPr>
          <w:vertAlign w:val="superscript"/>
          <w:lang w:val="fr-FR"/>
        </w:rPr>
        <w:t>o</w:t>
      </w:r>
      <w:r w:rsidRPr="00B62E11">
        <w:rPr>
          <w:lang w:val="fr-FR"/>
        </w:rPr>
        <w:t xml:space="preserve"> </w:t>
      </w:r>
      <w:hyperlink r:id="rId13" w:anchor="{&quot;appno&quot;:[&quot;31107/96&quot;]}" w:tgtFrame="_blank" w:history="1">
        <w:r w:rsidRPr="00B62E11">
          <w:rPr>
            <w:lang w:val="fr-FR"/>
          </w:rPr>
          <w:t>31107/96</w:t>
        </w:r>
      </w:hyperlink>
      <w:r w:rsidRPr="00B62E11">
        <w:rPr>
          <w:lang w:val="fr-FR"/>
        </w:rPr>
        <w:t>, § 32, CEDH 2000-XI).</w:t>
      </w:r>
    </w:p>
    <w:p w:rsidR="007B2119" w:rsidRPr="00B62E11" w:rsidRDefault="007B2119" w:rsidP="00B62E11">
      <w:pPr>
        <w:pStyle w:val="ECHRPara"/>
        <w:rPr>
          <w:szCs w:val="24"/>
          <w:lang w:val="fr-FR"/>
        </w:rPr>
      </w:pPr>
      <w:r w:rsidRPr="00B62E11">
        <w:rPr>
          <w:szCs w:val="24"/>
          <w:lang w:val="fr-FR"/>
        </w:rPr>
        <w:fldChar w:fldCharType="begin"/>
      </w:r>
      <w:r w:rsidRPr="00B62E11">
        <w:rPr>
          <w:szCs w:val="24"/>
          <w:lang w:val="fr-FR"/>
        </w:rPr>
        <w:instrText xml:space="preserve"> SEQ level0 \*arabic </w:instrText>
      </w:r>
      <w:r w:rsidRPr="00B62E11">
        <w:rPr>
          <w:szCs w:val="24"/>
          <w:lang w:val="fr-FR"/>
        </w:rPr>
        <w:fldChar w:fldCharType="separate"/>
      </w:r>
      <w:r w:rsidR="00B62E11" w:rsidRPr="00B62E11">
        <w:rPr>
          <w:noProof/>
          <w:szCs w:val="24"/>
          <w:lang w:val="fr-FR"/>
        </w:rPr>
        <w:t>68</w:t>
      </w:r>
      <w:r w:rsidRPr="00B62E11">
        <w:rPr>
          <w:szCs w:val="24"/>
          <w:lang w:val="fr-FR"/>
        </w:rPr>
        <w:fldChar w:fldCharType="end"/>
      </w:r>
      <w:r w:rsidRPr="00B62E11">
        <w:rPr>
          <w:szCs w:val="24"/>
          <w:lang w:val="fr-FR"/>
        </w:rPr>
        <w:t>.  En l</w:t>
      </w:r>
      <w:r w:rsidR="00B62E11" w:rsidRPr="00B62E11">
        <w:rPr>
          <w:szCs w:val="24"/>
          <w:lang w:val="fr-FR"/>
        </w:rPr>
        <w:t>’</w:t>
      </w:r>
      <w:r w:rsidRPr="00B62E11">
        <w:rPr>
          <w:szCs w:val="24"/>
          <w:lang w:val="fr-FR"/>
        </w:rPr>
        <w:t>espèce, quant à l</w:t>
      </w:r>
      <w:r w:rsidR="00B62E11" w:rsidRPr="00B62E11">
        <w:rPr>
          <w:szCs w:val="24"/>
          <w:lang w:val="fr-FR"/>
        </w:rPr>
        <w:t>’</w:t>
      </w:r>
      <w:r w:rsidRPr="00B62E11">
        <w:rPr>
          <w:szCs w:val="24"/>
          <w:lang w:val="fr-FR"/>
        </w:rPr>
        <w:t>article 1 du Protocole n</w:t>
      </w:r>
      <w:r w:rsidR="003656CF" w:rsidRPr="00B62E11">
        <w:rPr>
          <w:szCs w:val="24"/>
          <w:vertAlign w:val="superscript"/>
          <w:lang w:val="fr-FR"/>
        </w:rPr>
        <w:t>o</w:t>
      </w:r>
      <w:r w:rsidRPr="00B62E11">
        <w:rPr>
          <w:szCs w:val="24"/>
          <w:lang w:val="fr-FR"/>
        </w:rPr>
        <w:t xml:space="preserve"> 1, la Cour a dit que l</w:t>
      </w:r>
      <w:r w:rsidR="00B62E11" w:rsidRPr="00B62E11">
        <w:rPr>
          <w:szCs w:val="24"/>
          <w:lang w:val="fr-FR"/>
        </w:rPr>
        <w:t>’</w:t>
      </w:r>
      <w:r w:rsidRPr="00B62E11">
        <w:rPr>
          <w:szCs w:val="24"/>
          <w:lang w:val="fr-FR"/>
        </w:rPr>
        <w:t>ingérence litigieuse satisfaisait à la condition de légalité et n</w:t>
      </w:r>
      <w:r w:rsidR="00B62E11" w:rsidRPr="00B62E11">
        <w:rPr>
          <w:szCs w:val="24"/>
          <w:lang w:val="fr-FR"/>
        </w:rPr>
        <w:t>’</w:t>
      </w:r>
      <w:r w:rsidRPr="00B62E11">
        <w:rPr>
          <w:szCs w:val="24"/>
          <w:lang w:val="fr-FR"/>
        </w:rPr>
        <w:t xml:space="preserve">était pas arbitraire (paragraphe </w:t>
      </w:r>
      <w:r w:rsidR="00AB32C3" w:rsidRPr="00B62E11">
        <w:rPr>
          <w:szCs w:val="24"/>
          <w:lang w:val="fr-FR"/>
        </w:rPr>
        <w:t>48</w:t>
      </w:r>
      <w:r w:rsidRPr="00B62E11">
        <w:rPr>
          <w:szCs w:val="24"/>
          <w:lang w:val="fr-FR"/>
        </w:rPr>
        <w:t xml:space="preserve"> ci-dessus). L</w:t>
      </w:r>
      <w:r w:rsidR="00B62E11" w:rsidRPr="00B62E11">
        <w:rPr>
          <w:szCs w:val="24"/>
          <w:lang w:val="fr-FR"/>
        </w:rPr>
        <w:t>’</w:t>
      </w:r>
      <w:r w:rsidRPr="00B62E11">
        <w:rPr>
          <w:szCs w:val="24"/>
          <w:lang w:val="fr-FR"/>
        </w:rPr>
        <w:t>acte du gouvernement italien qu</w:t>
      </w:r>
      <w:r w:rsidR="00B62E11" w:rsidRPr="00B62E11">
        <w:rPr>
          <w:szCs w:val="24"/>
          <w:lang w:val="fr-FR"/>
        </w:rPr>
        <w:t>’</w:t>
      </w:r>
      <w:r w:rsidRPr="00B62E11">
        <w:rPr>
          <w:szCs w:val="24"/>
          <w:lang w:val="fr-FR"/>
        </w:rPr>
        <w:t>elle a tenu pour contraire à la Convention était une expropriation qui eût été légitime si une indemnisation adéquate avait été versée, et en l</w:t>
      </w:r>
      <w:r w:rsidR="00B62E11" w:rsidRPr="00B62E11">
        <w:rPr>
          <w:szCs w:val="24"/>
          <w:lang w:val="fr-FR"/>
        </w:rPr>
        <w:t>’</w:t>
      </w:r>
      <w:r w:rsidRPr="00B62E11">
        <w:rPr>
          <w:szCs w:val="24"/>
          <w:lang w:val="fr-FR"/>
        </w:rPr>
        <w:t>espèce une telle indemnisation devait être à hauteur de la valeur marchande du bien (paragraphes 5</w:t>
      </w:r>
      <w:r w:rsidR="00AB32C3" w:rsidRPr="00B62E11">
        <w:rPr>
          <w:szCs w:val="24"/>
          <w:lang w:val="fr-FR"/>
        </w:rPr>
        <w:t>1</w:t>
      </w:r>
      <w:r w:rsidRPr="00B62E11">
        <w:rPr>
          <w:szCs w:val="24"/>
          <w:lang w:val="fr-FR"/>
        </w:rPr>
        <w:t>-5</w:t>
      </w:r>
      <w:r w:rsidR="00AB32C3" w:rsidRPr="00B62E11">
        <w:rPr>
          <w:szCs w:val="24"/>
          <w:lang w:val="fr-FR"/>
        </w:rPr>
        <w:t>2</w:t>
      </w:r>
      <w:r w:rsidRPr="00B62E11">
        <w:rPr>
          <w:szCs w:val="24"/>
          <w:lang w:val="fr-FR"/>
        </w:rPr>
        <w:t xml:space="preserve"> ci-dessus). S</w:t>
      </w:r>
      <w:r w:rsidR="00B62E11" w:rsidRPr="00B62E11">
        <w:rPr>
          <w:szCs w:val="24"/>
          <w:lang w:val="fr-FR"/>
        </w:rPr>
        <w:t>’</w:t>
      </w:r>
      <w:r w:rsidRPr="00B62E11">
        <w:rPr>
          <w:szCs w:val="24"/>
          <w:lang w:val="fr-FR"/>
        </w:rPr>
        <w:t>inspirant des critères généraux énoncés dans sa jurisprudence relative à l</w:t>
      </w:r>
      <w:r w:rsidR="00B62E11" w:rsidRPr="00B62E11">
        <w:rPr>
          <w:szCs w:val="24"/>
          <w:lang w:val="fr-FR"/>
        </w:rPr>
        <w:t>’</w:t>
      </w:r>
      <w:r w:rsidRPr="00B62E11">
        <w:rPr>
          <w:szCs w:val="24"/>
          <w:lang w:val="fr-FR"/>
        </w:rPr>
        <w:t>article 1 du Protocole n</w:t>
      </w:r>
      <w:r w:rsidR="003656CF" w:rsidRPr="00B62E11">
        <w:rPr>
          <w:szCs w:val="24"/>
          <w:vertAlign w:val="superscript"/>
          <w:lang w:val="fr-FR"/>
        </w:rPr>
        <w:t>o</w:t>
      </w:r>
      <w:r w:rsidRPr="00B62E11">
        <w:rPr>
          <w:szCs w:val="24"/>
          <w:lang w:val="fr-FR"/>
        </w:rPr>
        <w:t xml:space="preserve"> 1 (</w:t>
      </w:r>
      <w:r w:rsidRPr="00B62E11">
        <w:rPr>
          <w:i/>
          <w:szCs w:val="24"/>
          <w:lang w:val="fr-FR"/>
        </w:rPr>
        <w:t>Scordino c.</w:t>
      </w:r>
      <w:r w:rsidR="00EE6FC9" w:rsidRPr="00B62E11">
        <w:rPr>
          <w:i/>
          <w:szCs w:val="24"/>
          <w:lang w:val="fr-FR"/>
        </w:rPr>
        <w:t> </w:t>
      </w:r>
      <w:r w:rsidRPr="00B62E11">
        <w:rPr>
          <w:i/>
          <w:szCs w:val="24"/>
          <w:lang w:val="fr-FR"/>
        </w:rPr>
        <w:t>Italie</w:t>
      </w:r>
      <w:r w:rsidRPr="00B62E11">
        <w:rPr>
          <w:szCs w:val="24"/>
          <w:lang w:val="fr-FR"/>
        </w:rPr>
        <w:t xml:space="preserve"> </w:t>
      </w:r>
      <w:r w:rsidRPr="00B62E11">
        <w:rPr>
          <w:i/>
          <w:szCs w:val="24"/>
          <w:lang w:val="fr-FR"/>
        </w:rPr>
        <w:t>(n</w:t>
      </w:r>
      <w:r w:rsidR="003656CF" w:rsidRPr="00B62E11">
        <w:rPr>
          <w:i/>
          <w:szCs w:val="24"/>
          <w:vertAlign w:val="superscript"/>
          <w:lang w:val="fr-FR"/>
        </w:rPr>
        <w:t>o</w:t>
      </w:r>
      <w:r w:rsidR="003656CF" w:rsidRPr="00B62E11">
        <w:rPr>
          <w:i/>
          <w:szCs w:val="24"/>
          <w:lang w:val="fr-FR"/>
        </w:rPr>
        <w:t xml:space="preserve"> </w:t>
      </w:r>
      <w:r w:rsidRPr="00B62E11">
        <w:rPr>
          <w:i/>
          <w:szCs w:val="24"/>
          <w:lang w:val="fr-FR"/>
        </w:rPr>
        <w:t>1)</w:t>
      </w:r>
      <w:r w:rsidRPr="00B62E11">
        <w:rPr>
          <w:szCs w:val="24"/>
          <w:lang w:val="fr-FR"/>
        </w:rPr>
        <w:t xml:space="preserve"> précité, §§ 93-98</w:t>
      </w:r>
      <w:r w:rsidR="00EE6FC9" w:rsidRPr="00B62E11">
        <w:rPr>
          <w:szCs w:val="24"/>
          <w:lang w:val="fr-FR"/>
        </w:rPr>
        <w:t> </w:t>
      </w:r>
      <w:r w:rsidRPr="00B62E11">
        <w:rPr>
          <w:szCs w:val="24"/>
          <w:lang w:val="fr-FR"/>
        </w:rPr>
        <w:t xml:space="preserve">; </w:t>
      </w:r>
      <w:r w:rsidRPr="00B62E11">
        <w:rPr>
          <w:i/>
          <w:szCs w:val="24"/>
          <w:lang w:val="fr-FR"/>
        </w:rPr>
        <w:t>Stornaiuolo c. Italie</w:t>
      </w:r>
      <w:r w:rsidRPr="00B62E11">
        <w:rPr>
          <w:szCs w:val="24"/>
          <w:lang w:val="fr-FR"/>
        </w:rPr>
        <w:t>, n</w:t>
      </w:r>
      <w:r w:rsidR="003656CF" w:rsidRPr="00B62E11">
        <w:rPr>
          <w:szCs w:val="24"/>
          <w:vertAlign w:val="superscript"/>
          <w:lang w:val="fr-FR"/>
        </w:rPr>
        <w:t>o</w:t>
      </w:r>
      <w:r w:rsidR="003656CF" w:rsidRPr="00B62E11">
        <w:rPr>
          <w:szCs w:val="24"/>
          <w:lang w:val="fr-FR"/>
        </w:rPr>
        <w:t xml:space="preserve"> </w:t>
      </w:r>
      <w:r w:rsidRPr="00B62E11">
        <w:rPr>
          <w:szCs w:val="24"/>
          <w:lang w:val="fr-FR"/>
        </w:rPr>
        <w:t>52980/99, § 61, 8</w:t>
      </w:r>
      <w:r w:rsidR="00EE6FC9" w:rsidRPr="00B62E11">
        <w:rPr>
          <w:szCs w:val="24"/>
          <w:lang w:val="fr-FR"/>
        </w:rPr>
        <w:t> </w:t>
      </w:r>
      <w:r w:rsidRPr="00B62E11">
        <w:rPr>
          <w:szCs w:val="24"/>
          <w:lang w:val="fr-FR"/>
        </w:rPr>
        <w:t xml:space="preserve">août 2006 ; </w:t>
      </w:r>
      <w:r w:rsidRPr="00B62E11">
        <w:rPr>
          <w:i/>
          <w:szCs w:val="24"/>
          <w:lang w:val="fr-FR"/>
        </w:rPr>
        <w:t>Mason et autres c. Italie</w:t>
      </w:r>
      <w:r w:rsidRPr="00B62E11">
        <w:rPr>
          <w:szCs w:val="24"/>
          <w:lang w:val="fr-FR"/>
        </w:rPr>
        <w:t xml:space="preserve"> (satisfaction équitable), n</w:t>
      </w:r>
      <w:r w:rsidR="003656CF" w:rsidRPr="00B62E11">
        <w:rPr>
          <w:szCs w:val="24"/>
          <w:vertAlign w:val="superscript"/>
          <w:lang w:val="fr-FR"/>
        </w:rPr>
        <w:t>o</w:t>
      </w:r>
      <w:r w:rsidR="00B62E11" w:rsidRPr="00B62E11">
        <w:rPr>
          <w:szCs w:val="24"/>
          <w:lang w:val="fr-FR"/>
        </w:rPr>
        <w:t xml:space="preserve"> 43663/98, § </w:t>
      </w:r>
      <w:r w:rsidRPr="00B62E11">
        <w:rPr>
          <w:szCs w:val="24"/>
          <w:lang w:val="fr-FR"/>
        </w:rPr>
        <w:t xml:space="preserve">38, 24 juillet 2007 ; </w:t>
      </w:r>
      <w:r w:rsidRPr="00B62E11">
        <w:rPr>
          <w:i/>
          <w:iCs/>
          <w:lang w:val="fr-FR"/>
        </w:rPr>
        <w:t>Gigli Costruzioni S.r.l. c. Italie</w:t>
      </w:r>
      <w:r w:rsidRPr="00B62E11">
        <w:rPr>
          <w:lang w:val="fr-FR"/>
        </w:rPr>
        <w:t>, n</w:t>
      </w:r>
      <w:r w:rsidR="003656CF" w:rsidRPr="00B62E11">
        <w:rPr>
          <w:vertAlign w:val="superscript"/>
          <w:lang w:val="fr-FR"/>
        </w:rPr>
        <w:t>o</w:t>
      </w:r>
      <w:r w:rsidRPr="00B62E11">
        <w:rPr>
          <w:lang w:val="fr-FR"/>
        </w:rPr>
        <w:t xml:space="preserve"> 10557/03, § 81, 1</w:t>
      </w:r>
      <w:r w:rsidRPr="00B62E11">
        <w:rPr>
          <w:vertAlign w:val="superscript"/>
          <w:lang w:val="fr-FR"/>
        </w:rPr>
        <w:t>er</w:t>
      </w:r>
      <w:r w:rsidR="00EE6FC9" w:rsidRPr="00B62E11">
        <w:rPr>
          <w:lang w:val="fr-FR"/>
        </w:rPr>
        <w:t> </w:t>
      </w:r>
      <w:r w:rsidRPr="00B62E11">
        <w:rPr>
          <w:lang w:val="fr-FR"/>
        </w:rPr>
        <w:t xml:space="preserve">avril 2008 ; </w:t>
      </w:r>
      <w:r w:rsidRPr="00B62E11">
        <w:rPr>
          <w:i/>
          <w:iCs/>
          <w:lang w:val="fr-FR"/>
        </w:rPr>
        <w:t>Mandola v. Italie</w:t>
      </w:r>
      <w:r w:rsidRPr="00B62E11">
        <w:rPr>
          <w:lang w:val="fr-FR"/>
        </w:rPr>
        <w:t>, n</w:t>
      </w:r>
      <w:r w:rsidR="003656CF" w:rsidRPr="00B62E11">
        <w:rPr>
          <w:vertAlign w:val="superscript"/>
          <w:lang w:val="fr-FR"/>
        </w:rPr>
        <w:t>o</w:t>
      </w:r>
      <w:r w:rsidRPr="00B62E11">
        <w:rPr>
          <w:lang w:val="fr-FR"/>
        </w:rPr>
        <w:t xml:space="preserve"> 38596/02, § 33, 30 juin 2009 ; </w:t>
      </w:r>
      <w:r w:rsidRPr="00B62E11">
        <w:rPr>
          <w:i/>
          <w:iCs/>
          <w:lang w:val="fr-FR"/>
        </w:rPr>
        <w:t>Zuccalà c. Italie</w:t>
      </w:r>
      <w:r w:rsidRPr="00B62E11">
        <w:rPr>
          <w:lang w:val="fr-FR"/>
        </w:rPr>
        <w:t>, n</w:t>
      </w:r>
      <w:r w:rsidR="003656CF" w:rsidRPr="00B62E11">
        <w:rPr>
          <w:vertAlign w:val="superscript"/>
          <w:lang w:val="fr-FR"/>
        </w:rPr>
        <w:t>o</w:t>
      </w:r>
      <w:r w:rsidRPr="00B62E11">
        <w:rPr>
          <w:lang w:val="fr-FR"/>
        </w:rPr>
        <w:t xml:space="preserve"> 72746/01, § 40, 19 janvier 2010</w:t>
      </w:r>
      <w:r w:rsidRPr="00B62E11">
        <w:rPr>
          <w:szCs w:val="24"/>
          <w:lang w:val="fr-FR"/>
        </w:rPr>
        <w:t>), la Cour estime que l</w:t>
      </w:r>
      <w:r w:rsidR="00B62E11" w:rsidRPr="00B62E11">
        <w:rPr>
          <w:szCs w:val="24"/>
          <w:lang w:val="fr-FR"/>
        </w:rPr>
        <w:t>’</w:t>
      </w:r>
      <w:r w:rsidRPr="00B62E11">
        <w:rPr>
          <w:szCs w:val="24"/>
          <w:lang w:val="fr-FR"/>
        </w:rPr>
        <w:t>indemnité d</w:t>
      </w:r>
      <w:r w:rsidR="00B62E11" w:rsidRPr="00B62E11">
        <w:rPr>
          <w:szCs w:val="24"/>
          <w:lang w:val="fr-FR"/>
        </w:rPr>
        <w:t>’</w:t>
      </w:r>
      <w:r w:rsidRPr="00B62E11">
        <w:rPr>
          <w:szCs w:val="24"/>
          <w:lang w:val="fr-FR"/>
        </w:rPr>
        <w:t>expropriation adéquate en l</w:t>
      </w:r>
      <w:r w:rsidR="00B62E11" w:rsidRPr="00B62E11">
        <w:rPr>
          <w:szCs w:val="24"/>
          <w:lang w:val="fr-FR"/>
        </w:rPr>
        <w:t>’</w:t>
      </w:r>
      <w:r w:rsidRPr="00B62E11">
        <w:rPr>
          <w:szCs w:val="24"/>
          <w:lang w:val="fr-FR"/>
        </w:rPr>
        <w:t>espèce aurait dû correspondre à la valeur marchande du bien au moment de la privation de celui-ci.</w:t>
      </w:r>
    </w:p>
    <w:p w:rsidR="00B62E11" w:rsidRPr="00B62E11" w:rsidRDefault="007B2119" w:rsidP="00B62E11">
      <w:pPr>
        <w:pStyle w:val="ECHRPara"/>
        <w:rPr>
          <w:szCs w:val="24"/>
          <w:lang w:val="fr-FR"/>
        </w:rPr>
      </w:pPr>
      <w:r w:rsidRPr="00B62E11">
        <w:rPr>
          <w:szCs w:val="24"/>
          <w:lang w:val="fr-FR"/>
        </w:rPr>
        <w:lastRenderedPageBreak/>
        <w:fldChar w:fldCharType="begin"/>
      </w:r>
      <w:r w:rsidRPr="00B62E11">
        <w:rPr>
          <w:szCs w:val="24"/>
          <w:lang w:val="fr-FR"/>
        </w:rPr>
        <w:instrText xml:space="preserve"> SEQ level0 \*arabic </w:instrText>
      </w:r>
      <w:r w:rsidRPr="00B62E11">
        <w:rPr>
          <w:szCs w:val="24"/>
          <w:lang w:val="fr-FR"/>
        </w:rPr>
        <w:fldChar w:fldCharType="separate"/>
      </w:r>
      <w:r w:rsidR="00B62E11" w:rsidRPr="00B62E11">
        <w:rPr>
          <w:noProof/>
          <w:szCs w:val="24"/>
          <w:lang w:val="fr-FR"/>
        </w:rPr>
        <w:t>69</w:t>
      </w:r>
      <w:r w:rsidRPr="00B62E11">
        <w:rPr>
          <w:szCs w:val="24"/>
          <w:lang w:val="fr-FR"/>
        </w:rPr>
        <w:fldChar w:fldCharType="end"/>
      </w:r>
      <w:r w:rsidRPr="00B62E11">
        <w:rPr>
          <w:szCs w:val="24"/>
          <w:lang w:val="fr-FR"/>
        </w:rPr>
        <w:t>.  Pour déterminer la valeur probable du terrain en 1992, époque de l</w:t>
      </w:r>
      <w:r w:rsidR="00B62E11" w:rsidRPr="00B62E11">
        <w:rPr>
          <w:szCs w:val="24"/>
          <w:lang w:val="fr-FR"/>
        </w:rPr>
        <w:t>’</w:t>
      </w:r>
      <w:r w:rsidRPr="00B62E11">
        <w:rPr>
          <w:szCs w:val="24"/>
          <w:lang w:val="fr-FR"/>
        </w:rPr>
        <w:t>expropriation, la Cour dispose de trois expertises d</w:t>
      </w:r>
      <w:r w:rsidR="00B62E11" w:rsidRPr="00B62E11">
        <w:rPr>
          <w:szCs w:val="24"/>
          <w:lang w:val="fr-FR"/>
        </w:rPr>
        <w:t>’</w:t>
      </w:r>
      <w:r w:rsidRPr="00B62E11">
        <w:rPr>
          <w:szCs w:val="24"/>
          <w:lang w:val="fr-FR"/>
        </w:rPr>
        <w:t>office. Les deux</w:t>
      </w:r>
      <w:r w:rsidR="00EE6FC9" w:rsidRPr="00B62E11">
        <w:rPr>
          <w:szCs w:val="24"/>
          <w:lang w:val="fr-FR"/>
        </w:rPr>
        <w:t> </w:t>
      </w:r>
      <w:r w:rsidRPr="00B62E11">
        <w:rPr>
          <w:szCs w:val="24"/>
          <w:lang w:val="fr-FR"/>
        </w:rPr>
        <w:t>premières relatives à la procédure intentée par le requérant, et qui ont évalué le terrain au moment de l</w:t>
      </w:r>
      <w:r w:rsidR="00B62E11" w:rsidRPr="00B62E11">
        <w:rPr>
          <w:szCs w:val="24"/>
          <w:lang w:val="fr-FR"/>
        </w:rPr>
        <w:t>’</w:t>
      </w:r>
      <w:r w:rsidRPr="00B62E11">
        <w:rPr>
          <w:szCs w:val="24"/>
          <w:lang w:val="fr-FR"/>
        </w:rPr>
        <w:t>occupation, soit en 1989, respectivement à environ 33 EUR et à environ 26 EUR par mètre carré (paragraphe 11 ci-dessus). La troisième, plus récente, ordonné dans la procédure intentée par le voisin du requérant, a évalué le terrain à 20,50 EUR par mètre carré à l</w:t>
      </w:r>
      <w:r w:rsidR="00B62E11" w:rsidRPr="00B62E11">
        <w:rPr>
          <w:szCs w:val="24"/>
          <w:lang w:val="fr-FR"/>
        </w:rPr>
        <w:t>’</w:t>
      </w:r>
      <w:r w:rsidRPr="00B62E11">
        <w:rPr>
          <w:szCs w:val="24"/>
          <w:lang w:val="fr-FR"/>
        </w:rPr>
        <w:t>époque de l</w:t>
      </w:r>
      <w:r w:rsidR="00B62E11" w:rsidRPr="00B62E11">
        <w:rPr>
          <w:szCs w:val="24"/>
          <w:lang w:val="fr-FR"/>
        </w:rPr>
        <w:t>’</w:t>
      </w:r>
      <w:r w:rsidRPr="00B62E11">
        <w:rPr>
          <w:szCs w:val="24"/>
          <w:lang w:val="fr-FR"/>
        </w:rPr>
        <w:t>expropriation, à savoir en 1992 (paragraphe 17 ci-dessus).</w:t>
      </w:r>
    </w:p>
    <w:p w:rsidR="007B2119" w:rsidRPr="00B62E11" w:rsidRDefault="007B2119" w:rsidP="00B62E11">
      <w:pPr>
        <w:pStyle w:val="ECHRPara"/>
        <w:rPr>
          <w:szCs w:val="24"/>
          <w:lang w:val="fr-FR"/>
        </w:rPr>
      </w:pPr>
      <w:r w:rsidRPr="00B62E11">
        <w:rPr>
          <w:szCs w:val="24"/>
          <w:lang w:val="fr-FR"/>
        </w:rPr>
        <w:fldChar w:fldCharType="begin"/>
      </w:r>
      <w:r w:rsidRPr="00B62E11">
        <w:rPr>
          <w:szCs w:val="24"/>
          <w:lang w:val="fr-FR"/>
        </w:rPr>
        <w:instrText xml:space="preserve"> SEQ level0 \*arabic </w:instrText>
      </w:r>
      <w:r w:rsidRPr="00B62E11">
        <w:rPr>
          <w:szCs w:val="24"/>
          <w:lang w:val="fr-FR"/>
        </w:rPr>
        <w:fldChar w:fldCharType="separate"/>
      </w:r>
      <w:r w:rsidR="00B62E11" w:rsidRPr="00B62E11">
        <w:rPr>
          <w:noProof/>
          <w:szCs w:val="24"/>
          <w:lang w:val="fr-FR"/>
        </w:rPr>
        <w:t>70</w:t>
      </w:r>
      <w:r w:rsidRPr="00B62E11">
        <w:rPr>
          <w:szCs w:val="24"/>
          <w:lang w:val="fr-FR"/>
        </w:rPr>
        <w:fldChar w:fldCharType="end"/>
      </w:r>
      <w:r w:rsidRPr="00B62E11">
        <w:rPr>
          <w:szCs w:val="24"/>
          <w:lang w:val="fr-FR"/>
        </w:rPr>
        <w:t>.  </w:t>
      </w:r>
      <w:r w:rsidR="00EE6FC9" w:rsidRPr="00B62E11">
        <w:rPr>
          <w:szCs w:val="24"/>
          <w:lang w:val="fr-FR"/>
        </w:rPr>
        <w:t>Étant</w:t>
      </w:r>
      <w:r w:rsidRPr="00B62E11">
        <w:rPr>
          <w:szCs w:val="24"/>
          <w:lang w:val="fr-FR"/>
        </w:rPr>
        <w:t xml:space="preserve"> donné que la troisième expertise est la seule à avoir déterminé la valeur du terrain du voisin à l</w:t>
      </w:r>
      <w:r w:rsidR="00B62E11" w:rsidRPr="00B62E11">
        <w:rPr>
          <w:szCs w:val="24"/>
          <w:lang w:val="fr-FR"/>
        </w:rPr>
        <w:t>’</w:t>
      </w:r>
      <w:r w:rsidRPr="00B62E11">
        <w:rPr>
          <w:szCs w:val="24"/>
          <w:lang w:val="fr-FR"/>
        </w:rPr>
        <w:t>époque de l</w:t>
      </w:r>
      <w:r w:rsidR="00B62E11" w:rsidRPr="00B62E11">
        <w:rPr>
          <w:szCs w:val="24"/>
          <w:lang w:val="fr-FR"/>
        </w:rPr>
        <w:t>’</w:t>
      </w:r>
      <w:r w:rsidRPr="00B62E11">
        <w:rPr>
          <w:szCs w:val="24"/>
          <w:lang w:val="fr-FR"/>
        </w:rPr>
        <w:t>expropriation, la Cour estime opportun de se baser sur celle-ci, compte tenu des similitudes existant entre le terrain du requérant et celui de son voisin. Elle part donc du principe que le terrain litigieux valait 20,50 EUR par mètre carré en 1992.</w:t>
      </w:r>
    </w:p>
    <w:p w:rsidR="007B2119" w:rsidRPr="00B62E11" w:rsidRDefault="007B2119" w:rsidP="00B62E11">
      <w:pPr>
        <w:pStyle w:val="ECHRPara"/>
        <w:rPr>
          <w:szCs w:val="24"/>
          <w:lang w:val="fr-FR"/>
        </w:rPr>
      </w:pPr>
      <w:r w:rsidRPr="00B62E11">
        <w:rPr>
          <w:szCs w:val="24"/>
          <w:lang w:val="fr-FR"/>
        </w:rPr>
        <w:fldChar w:fldCharType="begin"/>
      </w:r>
      <w:r w:rsidRPr="00B62E11">
        <w:rPr>
          <w:szCs w:val="24"/>
          <w:lang w:val="fr-FR"/>
        </w:rPr>
        <w:instrText xml:space="preserve"> SEQ level0 \*arabic </w:instrText>
      </w:r>
      <w:r w:rsidRPr="00B62E11">
        <w:rPr>
          <w:szCs w:val="24"/>
          <w:lang w:val="fr-FR"/>
        </w:rPr>
        <w:fldChar w:fldCharType="separate"/>
      </w:r>
      <w:r w:rsidR="00B62E11" w:rsidRPr="00B62E11">
        <w:rPr>
          <w:noProof/>
          <w:szCs w:val="24"/>
          <w:lang w:val="fr-FR"/>
        </w:rPr>
        <w:t>71</w:t>
      </w:r>
      <w:r w:rsidRPr="00B62E11">
        <w:rPr>
          <w:szCs w:val="24"/>
          <w:lang w:val="fr-FR"/>
        </w:rPr>
        <w:fldChar w:fldCharType="end"/>
      </w:r>
      <w:r w:rsidRPr="00B62E11">
        <w:rPr>
          <w:szCs w:val="24"/>
          <w:lang w:val="fr-FR"/>
        </w:rPr>
        <w:t>.  La Cour accorde par conséquent une somme correspondant à la différence entre la valeur du terrain à l</w:t>
      </w:r>
      <w:r w:rsidR="00B62E11" w:rsidRPr="00B62E11">
        <w:rPr>
          <w:szCs w:val="24"/>
          <w:lang w:val="fr-FR"/>
        </w:rPr>
        <w:t>’</w:t>
      </w:r>
      <w:r w:rsidRPr="00B62E11">
        <w:rPr>
          <w:szCs w:val="24"/>
          <w:lang w:val="fr-FR"/>
        </w:rPr>
        <w:t>époque de l</w:t>
      </w:r>
      <w:r w:rsidR="00B62E11" w:rsidRPr="00B62E11">
        <w:rPr>
          <w:szCs w:val="24"/>
          <w:lang w:val="fr-FR"/>
        </w:rPr>
        <w:t>’</w:t>
      </w:r>
      <w:r w:rsidRPr="00B62E11">
        <w:rPr>
          <w:szCs w:val="24"/>
          <w:lang w:val="fr-FR"/>
        </w:rPr>
        <w:t>expropriation, soit 20,50</w:t>
      </w:r>
      <w:r w:rsidR="00EE6FC9" w:rsidRPr="00B62E11">
        <w:rPr>
          <w:szCs w:val="24"/>
          <w:lang w:val="fr-FR"/>
        </w:rPr>
        <w:t> </w:t>
      </w:r>
      <w:r w:rsidRPr="00B62E11">
        <w:rPr>
          <w:szCs w:val="24"/>
          <w:lang w:val="fr-FR"/>
        </w:rPr>
        <w:t>EUR par mètre carré, et l</w:t>
      </w:r>
      <w:r w:rsidR="00B62E11" w:rsidRPr="00B62E11">
        <w:rPr>
          <w:szCs w:val="24"/>
          <w:lang w:val="fr-FR"/>
        </w:rPr>
        <w:t>’</w:t>
      </w:r>
      <w:r w:rsidRPr="00B62E11">
        <w:rPr>
          <w:szCs w:val="24"/>
          <w:lang w:val="fr-FR"/>
        </w:rPr>
        <w:t>indemnité obtenue au niveau national, soit 1,81</w:t>
      </w:r>
      <w:r w:rsidR="00EE6FC9" w:rsidRPr="00B62E11">
        <w:rPr>
          <w:szCs w:val="24"/>
          <w:lang w:val="fr-FR"/>
        </w:rPr>
        <w:t> </w:t>
      </w:r>
      <w:r w:rsidRPr="00B62E11">
        <w:rPr>
          <w:szCs w:val="24"/>
          <w:lang w:val="fr-FR"/>
        </w:rPr>
        <w:t>EUR par mètre carré, plus indexation et intérêts susceptibles de compenser, au moins en partie, le long laps de temps s</w:t>
      </w:r>
      <w:r w:rsidR="00B62E11" w:rsidRPr="00B62E11">
        <w:rPr>
          <w:szCs w:val="24"/>
          <w:lang w:val="fr-FR"/>
        </w:rPr>
        <w:t>’</w:t>
      </w:r>
      <w:r w:rsidRPr="00B62E11">
        <w:rPr>
          <w:szCs w:val="24"/>
          <w:lang w:val="fr-FR"/>
        </w:rPr>
        <w:t>étant écoulé depuis la dépossession du terrain. Aux yeux de la Cour, ces intérêts doivent correspondre à l</w:t>
      </w:r>
      <w:r w:rsidR="00B62E11" w:rsidRPr="00B62E11">
        <w:rPr>
          <w:szCs w:val="24"/>
          <w:lang w:val="fr-FR"/>
        </w:rPr>
        <w:t>’</w:t>
      </w:r>
      <w:r w:rsidRPr="00B62E11">
        <w:rPr>
          <w:szCs w:val="24"/>
          <w:lang w:val="fr-FR"/>
        </w:rPr>
        <w:t>intérêt légal simple appliqué sur le capital progressivement réévalué.</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72</w:t>
      </w:r>
      <w:r w:rsidRPr="00B62E11">
        <w:rPr>
          <w:lang w:val="fr-FR"/>
        </w:rPr>
        <w:fldChar w:fldCharType="end"/>
      </w:r>
      <w:r w:rsidRPr="00B62E11">
        <w:rPr>
          <w:lang w:val="fr-FR"/>
        </w:rPr>
        <w:t>.  Compte tenu de ces éléments, et statuant en équité, la Cour estime raisonnable d</w:t>
      </w:r>
      <w:r w:rsidR="00B62E11" w:rsidRPr="00B62E11">
        <w:rPr>
          <w:lang w:val="fr-FR"/>
        </w:rPr>
        <w:t>’</w:t>
      </w:r>
      <w:r w:rsidRPr="00B62E11">
        <w:rPr>
          <w:lang w:val="fr-FR"/>
        </w:rPr>
        <w:t>accorder au requérant la somme de 420 000 EUR, plus tout montant pouvant être dû à titre d</w:t>
      </w:r>
      <w:r w:rsidR="00B62E11" w:rsidRPr="00B62E11">
        <w:rPr>
          <w:lang w:val="fr-FR"/>
        </w:rPr>
        <w:t>’</w:t>
      </w:r>
      <w:r w:rsidRPr="00B62E11">
        <w:rPr>
          <w:lang w:val="fr-FR"/>
        </w:rPr>
        <w:t>impôt sur cette somme, pour préjudice matériel.</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73</w:t>
      </w:r>
      <w:r w:rsidRPr="00B62E11">
        <w:rPr>
          <w:lang w:val="fr-FR"/>
        </w:rPr>
        <w:fldChar w:fldCharType="end"/>
      </w:r>
      <w:r w:rsidRPr="00B62E11">
        <w:rPr>
          <w:lang w:val="fr-FR"/>
        </w:rPr>
        <w:t>.  Quant au préjudice moral, statuant en équité, la Cour accorde 10</w:t>
      </w:r>
      <w:r w:rsidR="00EE6FC9" w:rsidRPr="00B62E11">
        <w:rPr>
          <w:lang w:val="fr-FR"/>
        </w:rPr>
        <w:t> </w:t>
      </w:r>
      <w:r w:rsidRPr="00B62E11">
        <w:rPr>
          <w:lang w:val="fr-FR"/>
        </w:rPr>
        <w:t>000</w:t>
      </w:r>
      <w:r w:rsidR="00EE6FC9" w:rsidRPr="00B62E11">
        <w:rPr>
          <w:lang w:val="fr-FR"/>
        </w:rPr>
        <w:t> </w:t>
      </w:r>
      <w:r w:rsidRPr="00B62E11">
        <w:rPr>
          <w:lang w:val="fr-FR"/>
        </w:rPr>
        <w:t>EUR, plus tout montant pouvant être dû à titre d</w:t>
      </w:r>
      <w:r w:rsidR="00B62E11" w:rsidRPr="00B62E11">
        <w:rPr>
          <w:lang w:val="fr-FR"/>
        </w:rPr>
        <w:t>’</w:t>
      </w:r>
      <w:r w:rsidRPr="00B62E11">
        <w:rPr>
          <w:lang w:val="fr-FR"/>
        </w:rPr>
        <w:t>impôt sur cette somme.</w:t>
      </w:r>
    </w:p>
    <w:p w:rsidR="007B2119" w:rsidRPr="00B62E11" w:rsidRDefault="007B2119" w:rsidP="00B62E11">
      <w:pPr>
        <w:pStyle w:val="ECHRHeading2"/>
        <w:rPr>
          <w:lang w:val="fr-FR"/>
        </w:rPr>
      </w:pPr>
      <w:r w:rsidRPr="00B62E11">
        <w:rPr>
          <w:lang w:val="fr-FR"/>
        </w:rPr>
        <w:t>B.  Frais et dépens</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74</w:t>
      </w:r>
      <w:r w:rsidRPr="00B62E11">
        <w:rPr>
          <w:lang w:val="fr-FR"/>
        </w:rPr>
        <w:fldChar w:fldCharType="end"/>
      </w:r>
      <w:r w:rsidRPr="00B62E11">
        <w:rPr>
          <w:lang w:val="fr-FR"/>
        </w:rPr>
        <w:t>.  Justificatifs à l</w:t>
      </w:r>
      <w:r w:rsidR="00B62E11" w:rsidRPr="00B62E11">
        <w:rPr>
          <w:lang w:val="fr-FR"/>
        </w:rPr>
        <w:t>’</w:t>
      </w:r>
      <w:r w:rsidRPr="00B62E11">
        <w:rPr>
          <w:lang w:val="fr-FR"/>
        </w:rPr>
        <w:t>appui, le requérant demande également 15 513,32</w:t>
      </w:r>
      <w:r w:rsidR="00EE6FC9" w:rsidRPr="00B62E11">
        <w:rPr>
          <w:lang w:val="fr-FR"/>
        </w:rPr>
        <w:t> </w:t>
      </w:r>
      <w:r w:rsidRPr="00B62E11">
        <w:rPr>
          <w:lang w:val="fr-FR"/>
        </w:rPr>
        <w:t>EUR pour les frais et dépens engagés devant les juridictions internes et 35 950,03 EUR pour ceux engagés devant la Cour.</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75</w:t>
      </w:r>
      <w:r w:rsidRPr="00B62E11">
        <w:rPr>
          <w:lang w:val="fr-FR"/>
        </w:rPr>
        <w:fldChar w:fldCharType="end"/>
      </w:r>
      <w:r w:rsidRPr="00B62E11">
        <w:rPr>
          <w:lang w:val="fr-FR"/>
        </w:rPr>
        <w:t>.  Le Gouvernement soutient que ces prétentions sont excessives et injustifiées.</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76</w:t>
      </w:r>
      <w:r w:rsidRPr="00B62E11">
        <w:rPr>
          <w:lang w:val="fr-FR"/>
        </w:rPr>
        <w:fldChar w:fldCharType="end"/>
      </w:r>
      <w:r w:rsidRPr="00B62E11">
        <w:rPr>
          <w:lang w:val="fr-FR"/>
        </w:rPr>
        <w:t>.  Selon la jurisprudence de la Cour, un requérant ne peut obtenir le remboursement de ses frais et dépens que dans la mesure où se trouvent établis leur réalité, leur nécessité et le caractère raisonnable de leur taux. En l</w:t>
      </w:r>
      <w:r w:rsidR="00B62E11" w:rsidRPr="00B62E11">
        <w:rPr>
          <w:lang w:val="fr-FR"/>
        </w:rPr>
        <w:t>’</w:t>
      </w:r>
      <w:r w:rsidRPr="00B62E11">
        <w:rPr>
          <w:lang w:val="fr-FR"/>
        </w:rPr>
        <w:t>espèce et compte tenu des documents en sa possession et de sa jurisprudence, la Cour estime raisonnable la somme de 20 000 EUR tous frais confondus et l</w:t>
      </w:r>
      <w:r w:rsidR="00B62E11" w:rsidRPr="00B62E11">
        <w:rPr>
          <w:lang w:val="fr-FR"/>
        </w:rPr>
        <w:t>’</w:t>
      </w:r>
      <w:r w:rsidRPr="00B62E11">
        <w:rPr>
          <w:lang w:val="fr-FR"/>
        </w:rPr>
        <w:t>accorde au requérant.</w:t>
      </w:r>
    </w:p>
    <w:p w:rsidR="007B2119" w:rsidRPr="00B62E11" w:rsidRDefault="007B2119" w:rsidP="00B62E11">
      <w:pPr>
        <w:pStyle w:val="ECHRHeading2"/>
        <w:rPr>
          <w:lang w:val="fr-FR"/>
        </w:rPr>
      </w:pPr>
      <w:r w:rsidRPr="00B62E11">
        <w:rPr>
          <w:lang w:val="fr-FR"/>
        </w:rPr>
        <w:lastRenderedPageBreak/>
        <w:t>C.  Intérêts moratoires</w:t>
      </w:r>
    </w:p>
    <w:p w:rsidR="007B2119" w:rsidRPr="00B62E11" w:rsidRDefault="007B2119" w:rsidP="00B62E11">
      <w:pPr>
        <w:pStyle w:val="ECHRPara"/>
        <w:rPr>
          <w:lang w:val="fr-FR"/>
        </w:rPr>
      </w:pPr>
      <w:r w:rsidRPr="00B62E11">
        <w:rPr>
          <w:lang w:val="fr-FR"/>
        </w:rPr>
        <w:fldChar w:fldCharType="begin"/>
      </w:r>
      <w:r w:rsidRPr="00B62E11">
        <w:rPr>
          <w:lang w:val="fr-FR"/>
        </w:rPr>
        <w:instrText xml:space="preserve"> SEQ level0 \*arabic </w:instrText>
      </w:r>
      <w:r w:rsidRPr="00B62E11">
        <w:rPr>
          <w:lang w:val="fr-FR"/>
        </w:rPr>
        <w:fldChar w:fldCharType="separate"/>
      </w:r>
      <w:r w:rsidR="00B62E11" w:rsidRPr="00B62E11">
        <w:rPr>
          <w:noProof/>
          <w:lang w:val="fr-FR"/>
        </w:rPr>
        <w:t>77</w:t>
      </w:r>
      <w:r w:rsidRPr="00B62E11">
        <w:rPr>
          <w:lang w:val="fr-FR"/>
        </w:rPr>
        <w:fldChar w:fldCharType="end"/>
      </w:r>
      <w:r w:rsidRPr="00B62E11">
        <w:rPr>
          <w:lang w:val="fr-FR"/>
        </w:rPr>
        <w:t>.  La Cour juge approprié de calquer le taux des intérêts moratoires sur le taux d</w:t>
      </w:r>
      <w:r w:rsidR="00B62E11" w:rsidRPr="00B62E11">
        <w:rPr>
          <w:lang w:val="fr-FR"/>
        </w:rPr>
        <w:t>’</w:t>
      </w:r>
      <w:r w:rsidRPr="00B62E11">
        <w:rPr>
          <w:lang w:val="fr-FR"/>
        </w:rPr>
        <w:t>intérêt de la facilité de prêt marginal de la Banque centrale européenne majoré de trois points de pourcentage.</w:t>
      </w:r>
    </w:p>
    <w:p w:rsidR="007B2119" w:rsidRPr="00B62E11" w:rsidRDefault="007B2119" w:rsidP="00B62E11">
      <w:pPr>
        <w:pStyle w:val="ECHRTitle1"/>
        <w:rPr>
          <w:lang w:val="fr-FR"/>
        </w:rPr>
      </w:pPr>
      <w:r w:rsidRPr="00B62E11">
        <w:rPr>
          <w:lang w:val="fr-FR"/>
        </w:rPr>
        <w:t>PAR CES MOTIFS, LA COUR, À L</w:t>
      </w:r>
      <w:r w:rsidR="00B62E11" w:rsidRPr="00B62E11">
        <w:rPr>
          <w:lang w:val="fr-FR"/>
        </w:rPr>
        <w:t>’</w:t>
      </w:r>
      <w:r w:rsidRPr="00B62E11">
        <w:rPr>
          <w:lang w:val="fr-FR"/>
        </w:rPr>
        <w:t>UNANIMITÉ,</w:t>
      </w:r>
    </w:p>
    <w:p w:rsidR="007B2119" w:rsidRPr="00B62E11" w:rsidRDefault="007B2119" w:rsidP="00B62E11">
      <w:pPr>
        <w:pStyle w:val="JuList"/>
        <w:rPr>
          <w:lang w:val="fr-FR"/>
        </w:rPr>
      </w:pPr>
      <w:r w:rsidRPr="00B62E11">
        <w:rPr>
          <w:lang w:val="fr-FR"/>
        </w:rPr>
        <w:t>1.  </w:t>
      </w:r>
      <w:r w:rsidRPr="00B62E11">
        <w:rPr>
          <w:i/>
          <w:lang w:val="fr-FR"/>
        </w:rPr>
        <w:t xml:space="preserve">Rejette </w:t>
      </w:r>
      <w:r w:rsidRPr="00B62E11">
        <w:rPr>
          <w:lang w:val="fr-FR"/>
        </w:rPr>
        <w:t>la demande de radiation du rôle de la requête ;</w:t>
      </w:r>
    </w:p>
    <w:p w:rsidR="007B2119" w:rsidRPr="00B62E11" w:rsidRDefault="007B2119" w:rsidP="00B62E11">
      <w:pPr>
        <w:pStyle w:val="JuList"/>
        <w:rPr>
          <w:lang w:val="fr-FR"/>
        </w:rPr>
      </w:pPr>
    </w:p>
    <w:p w:rsidR="007B2119" w:rsidRPr="00B62E11" w:rsidRDefault="007B2119" w:rsidP="00B62E11">
      <w:pPr>
        <w:pStyle w:val="JuList"/>
        <w:rPr>
          <w:lang w:val="fr-FR"/>
        </w:rPr>
      </w:pPr>
      <w:r w:rsidRPr="00B62E11">
        <w:rPr>
          <w:lang w:val="fr-FR"/>
        </w:rPr>
        <w:t xml:space="preserve">2.   </w:t>
      </w:r>
      <w:r w:rsidRPr="00B62E11">
        <w:rPr>
          <w:i/>
          <w:lang w:val="fr-FR"/>
        </w:rPr>
        <w:t>Déclare</w:t>
      </w:r>
      <w:r w:rsidRPr="00B62E11">
        <w:rPr>
          <w:lang w:val="fr-FR"/>
        </w:rPr>
        <w:t xml:space="preserve"> la requête recevable ;</w:t>
      </w:r>
    </w:p>
    <w:p w:rsidR="007B2119" w:rsidRPr="00B62E11" w:rsidRDefault="007B2119" w:rsidP="00B62E11">
      <w:pPr>
        <w:pStyle w:val="JuList"/>
        <w:rPr>
          <w:lang w:val="fr-FR"/>
        </w:rPr>
      </w:pPr>
    </w:p>
    <w:p w:rsidR="007B2119" w:rsidRPr="00B62E11" w:rsidRDefault="007B2119" w:rsidP="00B62E11">
      <w:pPr>
        <w:pStyle w:val="JuList"/>
        <w:rPr>
          <w:lang w:val="fr-FR"/>
        </w:rPr>
      </w:pPr>
      <w:r w:rsidRPr="00B62E11">
        <w:rPr>
          <w:lang w:val="fr-FR"/>
        </w:rPr>
        <w:t>3.  </w:t>
      </w:r>
      <w:r w:rsidRPr="00B62E11">
        <w:rPr>
          <w:i/>
          <w:lang w:val="fr-FR"/>
        </w:rPr>
        <w:t>Dit</w:t>
      </w:r>
      <w:r w:rsidRPr="00B62E11">
        <w:rPr>
          <w:lang w:val="fr-FR"/>
        </w:rPr>
        <w:t xml:space="preserve"> qu</w:t>
      </w:r>
      <w:r w:rsidR="00B62E11" w:rsidRPr="00B62E11">
        <w:rPr>
          <w:lang w:val="fr-FR"/>
        </w:rPr>
        <w:t>’</w:t>
      </w:r>
      <w:r w:rsidRPr="00B62E11">
        <w:rPr>
          <w:lang w:val="fr-FR"/>
        </w:rPr>
        <w:t>il y a eu violation de l</w:t>
      </w:r>
      <w:r w:rsidR="00B62E11" w:rsidRPr="00B62E11">
        <w:rPr>
          <w:lang w:val="fr-FR"/>
        </w:rPr>
        <w:t>’</w:t>
      </w:r>
      <w:r w:rsidRPr="00B62E11">
        <w:rPr>
          <w:lang w:val="fr-FR"/>
        </w:rPr>
        <w:t>article 1 du Protocole n</w:t>
      </w:r>
      <w:r w:rsidR="003656CF" w:rsidRPr="00B62E11">
        <w:rPr>
          <w:vertAlign w:val="superscript"/>
          <w:lang w:val="fr-FR"/>
        </w:rPr>
        <w:t>o</w:t>
      </w:r>
      <w:r w:rsidRPr="00B62E11">
        <w:rPr>
          <w:lang w:val="fr-FR"/>
        </w:rPr>
        <w:t xml:space="preserve"> 1 ;</w:t>
      </w:r>
    </w:p>
    <w:p w:rsidR="007B2119" w:rsidRPr="00B62E11" w:rsidRDefault="007B2119" w:rsidP="00B62E11">
      <w:pPr>
        <w:pStyle w:val="JuList"/>
        <w:rPr>
          <w:lang w:val="fr-FR"/>
        </w:rPr>
      </w:pPr>
    </w:p>
    <w:p w:rsidR="007B2119" w:rsidRPr="00B62E11" w:rsidRDefault="007B2119" w:rsidP="00B62E11">
      <w:pPr>
        <w:pStyle w:val="JuList"/>
        <w:rPr>
          <w:lang w:val="fr-FR"/>
        </w:rPr>
      </w:pPr>
      <w:r w:rsidRPr="00B62E11">
        <w:rPr>
          <w:lang w:val="fr-FR"/>
        </w:rPr>
        <w:t>4.  </w:t>
      </w:r>
      <w:r w:rsidRPr="00B62E11">
        <w:rPr>
          <w:i/>
          <w:lang w:val="fr-FR"/>
        </w:rPr>
        <w:t>Dit</w:t>
      </w:r>
      <w:r w:rsidRPr="00B62E11">
        <w:rPr>
          <w:lang w:val="fr-FR"/>
        </w:rPr>
        <w:t xml:space="preserve"> qu</w:t>
      </w:r>
      <w:r w:rsidR="00B62E11" w:rsidRPr="00B62E11">
        <w:rPr>
          <w:lang w:val="fr-FR"/>
        </w:rPr>
        <w:t>’</w:t>
      </w:r>
      <w:r w:rsidRPr="00B62E11">
        <w:rPr>
          <w:lang w:val="fr-FR"/>
        </w:rPr>
        <w:t>il n</w:t>
      </w:r>
      <w:r w:rsidR="00B62E11" w:rsidRPr="00B62E11">
        <w:rPr>
          <w:lang w:val="fr-FR"/>
        </w:rPr>
        <w:t>’</w:t>
      </w:r>
      <w:r w:rsidRPr="00B62E11">
        <w:rPr>
          <w:lang w:val="fr-FR"/>
        </w:rPr>
        <w:t>y a pas lieu d</w:t>
      </w:r>
      <w:r w:rsidR="00B62E11" w:rsidRPr="00B62E11">
        <w:rPr>
          <w:lang w:val="fr-FR"/>
        </w:rPr>
        <w:t>’</w:t>
      </w:r>
      <w:r w:rsidRPr="00B62E11">
        <w:rPr>
          <w:lang w:val="fr-FR"/>
        </w:rPr>
        <w:t>examiner séparément le grief tiré de l</w:t>
      </w:r>
      <w:r w:rsidR="00B62E11" w:rsidRPr="00B62E11">
        <w:rPr>
          <w:lang w:val="fr-FR"/>
        </w:rPr>
        <w:t>’</w:t>
      </w:r>
      <w:r w:rsidRPr="00B62E11">
        <w:rPr>
          <w:lang w:val="fr-FR"/>
        </w:rPr>
        <w:t>article 6 de la Convention ;</w:t>
      </w:r>
    </w:p>
    <w:p w:rsidR="007B2119" w:rsidRPr="00B62E11" w:rsidRDefault="007B2119" w:rsidP="00B62E11">
      <w:pPr>
        <w:pStyle w:val="JuList"/>
        <w:rPr>
          <w:lang w:val="fr-FR"/>
        </w:rPr>
      </w:pPr>
    </w:p>
    <w:p w:rsidR="007B2119" w:rsidRPr="00B62E11" w:rsidRDefault="007B2119" w:rsidP="00B62E11">
      <w:pPr>
        <w:pStyle w:val="JuList"/>
        <w:rPr>
          <w:lang w:val="fr-FR"/>
        </w:rPr>
      </w:pPr>
      <w:r w:rsidRPr="00B62E11">
        <w:rPr>
          <w:lang w:val="fr-FR"/>
        </w:rPr>
        <w:t>5.  </w:t>
      </w:r>
      <w:r w:rsidRPr="00B62E11">
        <w:rPr>
          <w:i/>
          <w:lang w:val="fr-FR"/>
        </w:rPr>
        <w:t>Dit</w:t>
      </w:r>
    </w:p>
    <w:p w:rsidR="007B2119" w:rsidRPr="00B62E11" w:rsidRDefault="007B2119" w:rsidP="00B62E11">
      <w:pPr>
        <w:pStyle w:val="JuLista"/>
        <w:rPr>
          <w:lang w:val="fr-FR"/>
        </w:rPr>
      </w:pPr>
      <w:r w:rsidRPr="00B62E11">
        <w:rPr>
          <w:lang w:val="fr-FR"/>
        </w:rPr>
        <w:t>a)  que l</w:t>
      </w:r>
      <w:r w:rsidR="00B62E11" w:rsidRPr="00B62E11">
        <w:rPr>
          <w:lang w:val="fr-FR"/>
        </w:rPr>
        <w:t>’</w:t>
      </w:r>
      <w:r w:rsidRPr="00B62E11">
        <w:rPr>
          <w:lang w:val="fr-FR"/>
        </w:rPr>
        <w:t>État défendeur doit verser au requérant, dans les trois mois à compter du jour où l</w:t>
      </w:r>
      <w:r w:rsidR="00B62E11" w:rsidRPr="00B62E11">
        <w:rPr>
          <w:lang w:val="fr-FR"/>
        </w:rPr>
        <w:t>’</w:t>
      </w:r>
      <w:r w:rsidRPr="00B62E11">
        <w:rPr>
          <w:lang w:val="fr-FR"/>
        </w:rPr>
        <w:t>arrêt sera devenu définitif conformément à l</w:t>
      </w:r>
      <w:r w:rsidR="00B62E11" w:rsidRPr="00B62E11">
        <w:rPr>
          <w:lang w:val="fr-FR"/>
        </w:rPr>
        <w:t>’</w:t>
      </w:r>
      <w:r w:rsidRPr="00B62E11">
        <w:rPr>
          <w:lang w:val="fr-FR"/>
        </w:rPr>
        <w:t>article 44 § 2 de la Convention, les sommes suivantes :</w:t>
      </w:r>
    </w:p>
    <w:p w:rsidR="007B2119" w:rsidRPr="00B62E11" w:rsidRDefault="007B2119" w:rsidP="00B62E11">
      <w:pPr>
        <w:pStyle w:val="JuListi"/>
        <w:rPr>
          <w:lang w:val="fr-FR" w:eastAsia="en-GB"/>
        </w:rPr>
      </w:pPr>
      <w:r w:rsidRPr="00B62E11">
        <w:rPr>
          <w:lang w:val="fr-FR" w:eastAsia="en-GB"/>
        </w:rPr>
        <w:t>i)  420 000 EUR (quatre-cent vingt mille euros), plus tout montant pouvant être dû à titre d</w:t>
      </w:r>
      <w:r w:rsidR="00B62E11" w:rsidRPr="00B62E11">
        <w:rPr>
          <w:lang w:val="fr-FR" w:eastAsia="en-GB"/>
        </w:rPr>
        <w:t>’</w:t>
      </w:r>
      <w:r w:rsidRPr="00B62E11">
        <w:rPr>
          <w:lang w:val="fr-FR" w:eastAsia="en-GB"/>
        </w:rPr>
        <w:t>impôt, pour dommage matériel ;</w:t>
      </w:r>
    </w:p>
    <w:p w:rsidR="007B2119" w:rsidRPr="00B62E11" w:rsidRDefault="007B2119" w:rsidP="00B62E11">
      <w:pPr>
        <w:pStyle w:val="JuListi"/>
        <w:rPr>
          <w:lang w:val="fr-FR" w:eastAsia="en-GB"/>
        </w:rPr>
      </w:pPr>
      <w:r w:rsidRPr="00B62E11">
        <w:rPr>
          <w:lang w:val="fr-FR" w:eastAsia="en-GB"/>
        </w:rPr>
        <w:t>ii)  10 000 EUR (dix mille euros), plus tout montant pouvant être dû à titre d</w:t>
      </w:r>
      <w:r w:rsidR="00B62E11" w:rsidRPr="00B62E11">
        <w:rPr>
          <w:lang w:val="fr-FR" w:eastAsia="en-GB"/>
        </w:rPr>
        <w:t>’</w:t>
      </w:r>
      <w:r w:rsidRPr="00B62E11">
        <w:rPr>
          <w:lang w:val="fr-FR" w:eastAsia="en-GB"/>
        </w:rPr>
        <w:t>impôt, pour dommage moral ;</w:t>
      </w:r>
    </w:p>
    <w:p w:rsidR="007B2119" w:rsidRPr="00B62E11" w:rsidRDefault="007B2119" w:rsidP="00B62E11">
      <w:pPr>
        <w:pStyle w:val="JuListi"/>
        <w:rPr>
          <w:lang w:val="fr-FR" w:eastAsia="en-GB"/>
        </w:rPr>
      </w:pPr>
      <w:r w:rsidRPr="00B62E11">
        <w:rPr>
          <w:lang w:val="fr-FR" w:eastAsia="en-GB"/>
        </w:rPr>
        <w:t>iii)  20 000 EUR (vingt mille euros), plus tout montant pouvant être dû à titre d</w:t>
      </w:r>
      <w:r w:rsidR="00B62E11" w:rsidRPr="00B62E11">
        <w:rPr>
          <w:lang w:val="fr-FR" w:eastAsia="en-GB"/>
        </w:rPr>
        <w:t>’</w:t>
      </w:r>
      <w:r w:rsidRPr="00B62E11">
        <w:rPr>
          <w:lang w:val="fr-FR" w:eastAsia="en-GB"/>
        </w:rPr>
        <w:t>impôt par le requérant, pour frais et dépens ;</w:t>
      </w:r>
    </w:p>
    <w:p w:rsidR="007B2119" w:rsidRPr="00B62E11" w:rsidRDefault="007B2119" w:rsidP="00B62E11">
      <w:pPr>
        <w:pStyle w:val="JuLista"/>
        <w:rPr>
          <w:lang w:val="fr-FR"/>
        </w:rPr>
      </w:pPr>
      <w:r w:rsidRPr="00B62E11">
        <w:rPr>
          <w:lang w:val="fr-FR"/>
        </w:rPr>
        <w:t>b)  qu</w:t>
      </w:r>
      <w:r w:rsidR="00B62E11" w:rsidRPr="00B62E11">
        <w:rPr>
          <w:lang w:val="fr-FR"/>
        </w:rPr>
        <w:t>’</w:t>
      </w:r>
      <w:r w:rsidRPr="00B62E11">
        <w:rPr>
          <w:lang w:val="fr-FR"/>
        </w:rPr>
        <w:t>à compter de l</w:t>
      </w:r>
      <w:r w:rsidR="00B62E11" w:rsidRPr="00B62E11">
        <w:rPr>
          <w:lang w:val="fr-FR"/>
        </w:rPr>
        <w:t>’</w:t>
      </w:r>
      <w:r w:rsidRPr="00B62E11">
        <w:rPr>
          <w:lang w:val="fr-FR"/>
        </w:rPr>
        <w:t>expiration dudit délai et jusqu</w:t>
      </w:r>
      <w:r w:rsidR="00B62E11" w:rsidRPr="00B62E11">
        <w:rPr>
          <w:lang w:val="fr-FR"/>
        </w:rPr>
        <w:t>’</w:t>
      </w:r>
      <w:r w:rsidRPr="00B62E11">
        <w:rPr>
          <w:lang w:val="fr-FR"/>
        </w:rPr>
        <w:t>au versement, ces montants seront à majorer d</w:t>
      </w:r>
      <w:r w:rsidR="00B62E11" w:rsidRPr="00B62E11">
        <w:rPr>
          <w:lang w:val="fr-FR"/>
        </w:rPr>
        <w:t>’</w:t>
      </w:r>
      <w:r w:rsidRPr="00B62E11">
        <w:rPr>
          <w:lang w:val="fr-FR"/>
        </w:rPr>
        <w:t>un intérêt simple à un taux égal à celui de la facilité de prêt marginal de la Banque centrale européenne applicable pendant cette période, augmenté de trois points de pourcentage ;</w:t>
      </w:r>
    </w:p>
    <w:p w:rsidR="007B2119" w:rsidRPr="00B62E11" w:rsidRDefault="007B2119" w:rsidP="00B62E11">
      <w:pPr>
        <w:pStyle w:val="JuLista"/>
        <w:rPr>
          <w:lang w:val="fr-FR"/>
        </w:rPr>
      </w:pPr>
    </w:p>
    <w:p w:rsidR="007B2119" w:rsidRPr="00B62E11" w:rsidRDefault="007B2119" w:rsidP="00B62E11">
      <w:pPr>
        <w:pStyle w:val="JuList"/>
        <w:rPr>
          <w:lang w:val="fr-FR"/>
        </w:rPr>
      </w:pPr>
      <w:r w:rsidRPr="00B62E11">
        <w:rPr>
          <w:lang w:val="fr-FR"/>
        </w:rPr>
        <w:t>6.  </w:t>
      </w:r>
      <w:r w:rsidRPr="00B62E11">
        <w:rPr>
          <w:i/>
          <w:lang w:val="fr-FR"/>
        </w:rPr>
        <w:t>Rejette</w:t>
      </w:r>
      <w:r w:rsidRPr="00B62E11">
        <w:rPr>
          <w:lang w:val="fr-FR"/>
        </w:rPr>
        <w:t xml:space="preserve"> la demande de satisfaction équitable pour le surplus.</w:t>
      </w:r>
    </w:p>
    <w:p w:rsidR="007B2119" w:rsidRPr="00B62E11" w:rsidRDefault="007B2119" w:rsidP="00B62E11">
      <w:pPr>
        <w:pStyle w:val="JuParaLast"/>
        <w:rPr>
          <w:lang w:val="fr-FR"/>
        </w:rPr>
      </w:pPr>
      <w:r w:rsidRPr="00B62E11">
        <w:rPr>
          <w:lang w:val="fr-FR"/>
        </w:rPr>
        <w:t>Fait en français, puis communiqué par écrit le </w:t>
      </w:r>
      <w:r w:rsidR="00AB32C3" w:rsidRPr="00B62E11">
        <w:rPr>
          <w:lang w:val="fr-FR"/>
        </w:rPr>
        <w:t>17 novembre 2015</w:t>
      </w:r>
      <w:r w:rsidRPr="00B62E11">
        <w:rPr>
          <w:lang w:val="fr-FR"/>
        </w:rPr>
        <w:t>, en application de l</w:t>
      </w:r>
      <w:r w:rsidR="00B62E11" w:rsidRPr="00B62E11">
        <w:rPr>
          <w:lang w:val="fr-FR"/>
        </w:rPr>
        <w:t>’</w:t>
      </w:r>
      <w:r w:rsidRPr="00B62E11">
        <w:rPr>
          <w:lang w:val="fr-FR"/>
        </w:rPr>
        <w:t>article 77 §§ 2 et 3 du règlement.</w:t>
      </w:r>
    </w:p>
    <w:p w:rsidR="004D15F3" w:rsidRPr="00B62E11" w:rsidRDefault="007B2119" w:rsidP="00B62E11">
      <w:pPr>
        <w:pStyle w:val="JuSigned"/>
        <w:keepNext/>
        <w:keepLines/>
        <w:rPr>
          <w:lang w:val="fr-FR"/>
        </w:rPr>
      </w:pPr>
      <w:r w:rsidRPr="00B62E11">
        <w:rPr>
          <w:lang w:val="fr-FR"/>
        </w:rPr>
        <w:tab/>
        <w:t>Françoise Elens-Passos</w:t>
      </w:r>
      <w:r w:rsidRPr="00B62E11">
        <w:rPr>
          <w:lang w:val="fr-FR"/>
        </w:rPr>
        <w:tab/>
        <w:t>Päivi Hirvelä</w:t>
      </w:r>
      <w:r w:rsidRPr="00B62E11">
        <w:rPr>
          <w:lang w:val="fr-FR"/>
        </w:rPr>
        <w:br/>
      </w:r>
      <w:r w:rsidRPr="00B62E11">
        <w:rPr>
          <w:lang w:val="fr-FR"/>
        </w:rPr>
        <w:tab/>
        <w:t>Greffière</w:t>
      </w:r>
      <w:r w:rsidRPr="00B62E11">
        <w:rPr>
          <w:lang w:val="fr-FR"/>
        </w:rPr>
        <w:tab/>
        <w:t>Présidente</w:t>
      </w:r>
    </w:p>
    <w:sectPr w:rsidR="004D15F3" w:rsidRPr="00B62E11">
      <w:headerReference w:type="even" r:id="rId14"/>
      <w:headerReference w:type="default" r:id="rId15"/>
      <w:footerReference w:type="even" r:id="rId16"/>
      <w:footerReference w:type="default" r:id="rId17"/>
      <w:pgSz w:w="11906" w:h="16838" w:code="9"/>
      <w:pgMar w:top="2274" w:right="2274" w:bottom="2274" w:left="2274" w:header="1701"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13C" w:rsidRDefault="00E0013C" w:rsidP="002D2C99">
      <w:r>
        <w:separator/>
      </w:r>
    </w:p>
  </w:endnote>
  <w:endnote w:type="continuationSeparator" w:id="0">
    <w:p w:rsidR="00E0013C" w:rsidRDefault="00E0013C" w:rsidP="002D2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E22" w:rsidRPr="00150BFA" w:rsidRDefault="00865E22" w:rsidP="00865E22">
    <w:pPr>
      <w:jc w:val="center"/>
    </w:pPr>
    <w:r>
      <w:rPr>
        <w:noProof/>
        <w:lang w:val="it-IT" w:eastAsia="it-IT"/>
      </w:rPr>
      <w:drawing>
        <wp:inline distT="0" distB="0" distL="0" distR="0" wp14:anchorId="122B119D" wp14:editId="194F6EC8">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865E22" w:rsidRDefault="00865E22" w:rsidP="00865E2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E22" w:rsidRDefault="00865E22" w:rsidP="00865E2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E22" w:rsidRDefault="00865E22" w:rsidP="00865E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13C" w:rsidRDefault="00E0013C" w:rsidP="002D2C99">
      <w:r>
        <w:separator/>
      </w:r>
    </w:p>
  </w:footnote>
  <w:footnote w:type="continuationSeparator" w:id="0">
    <w:p w:rsidR="00E0013C" w:rsidRDefault="00E0013C" w:rsidP="002D2C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E22" w:rsidRPr="00A45145" w:rsidRDefault="00865E22" w:rsidP="00865E22">
    <w:pPr>
      <w:jc w:val="center"/>
    </w:pPr>
    <w:r>
      <w:rPr>
        <w:noProof/>
        <w:lang w:val="it-IT" w:eastAsia="it-IT"/>
      </w:rPr>
      <w:drawing>
        <wp:inline distT="0" distB="0" distL="0" distR="0" wp14:anchorId="68594D3F" wp14:editId="44F550D7">
          <wp:extent cx="2962275" cy="1219200"/>
          <wp:effectExtent l="0" t="0" r="9525" b="0"/>
          <wp:docPr id="4" name="Picture 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865E22" w:rsidRDefault="00865E22" w:rsidP="00F5432B">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E22" w:rsidRPr="00F5432B" w:rsidRDefault="00865E22" w:rsidP="00F5432B">
    <w:pPr>
      <w:pStyle w:val="ECHRHeader"/>
      <w:rPr>
        <w:lang w:val="fr-FR"/>
      </w:rPr>
    </w:pPr>
    <w:r>
      <w:rPr>
        <w:rStyle w:val="Numeropagina"/>
        <w:lang w:val="fr-FR"/>
      </w:rPr>
      <w:fldChar w:fldCharType="begin"/>
    </w:r>
    <w:r>
      <w:rPr>
        <w:rStyle w:val="Numeropagina"/>
        <w:lang w:val="fr-FR"/>
      </w:rPr>
      <w:instrText xml:space="preserve"> PAGE </w:instrText>
    </w:r>
    <w:r>
      <w:rPr>
        <w:rStyle w:val="Numeropagina"/>
        <w:lang w:val="fr-FR"/>
      </w:rPr>
      <w:fldChar w:fldCharType="separate"/>
    </w:r>
    <w:r w:rsidR="00B15D69">
      <w:rPr>
        <w:rStyle w:val="Numeropagina"/>
        <w:noProof/>
        <w:lang w:val="fr-FR"/>
      </w:rPr>
      <w:t>14</w:t>
    </w:r>
    <w:r>
      <w:rPr>
        <w:rStyle w:val="Numeropagina"/>
        <w:lang w:val="fr-FR"/>
      </w:rPr>
      <w:fldChar w:fldCharType="end"/>
    </w:r>
    <w:r w:rsidRPr="00F5432B">
      <w:rPr>
        <w:lang w:val="fr-FR"/>
      </w:rPr>
      <w:tab/>
      <w:t xml:space="preserve">ARRÊT </w:t>
    </w:r>
    <w:r>
      <w:rPr>
        <w:lang w:val="fr-FR"/>
      </w:rPr>
      <w:t>PREITE c. ITALIE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E22" w:rsidRPr="007100AD" w:rsidRDefault="00865E22" w:rsidP="00420F04">
    <w:pPr>
      <w:pStyle w:val="ECHRHeader"/>
    </w:pPr>
    <w:r>
      <w:tab/>
    </w:r>
    <w:r w:rsidRPr="00A7574A">
      <w:rPr>
        <w:lang w:val="en-GB"/>
      </w:rPr>
      <w:t xml:space="preserve">ARRÊT </w:t>
    </w:r>
    <w:r>
      <w:rPr>
        <w:lang w:val="en-GB"/>
      </w:rPr>
      <w:t>PREITE c. ITALIE</w:t>
    </w:r>
    <w:r w:rsidRPr="007100AD">
      <w:tab/>
    </w: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B15D69">
      <w:rPr>
        <w:rStyle w:val="Numeropagina"/>
        <w:noProof/>
        <w:lang w:val="en-GB"/>
      </w:rPr>
      <w:t>1</w:t>
    </w:r>
    <w:r>
      <w:rPr>
        <w:rStyle w:val="Numeropagina"/>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A08B0C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3CF25AF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B02EDC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1E60D70"/>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D2AA4F54"/>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99E2214A"/>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0DDCF244"/>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1804BE7E"/>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02A8490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88CC5F40"/>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17363396"/>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B4233A6"/>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0152ADB"/>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12"/>
  </w:num>
  <w:num w:numId="3">
    <w:abstractNumId w:val="11"/>
  </w:num>
  <w:num w:numId="4">
    <w:abstractNumId w:val="10"/>
  </w:num>
  <w:num w:numId="5">
    <w:abstractNumId w:val="9"/>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PAR VOIE ÉLECTRONIQUE UNIQUEMENT"/>
    <w:docVar w:name="L4_1Annex" w:val="0"/>
    <w:docVar w:name="L4_1Anonymity" w:val="0"/>
    <w:docVar w:name="NBEMMDOC" w:val="0"/>
    <w:docVar w:name="SignForeName" w:val="0"/>
  </w:docVars>
  <w:rsids>
    <w:rsidRoot w:val="00CD5A52"/>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925AD"/>
    <w:rsid w:val="000A24EB"/>
    <w:rsid w:val="000B5A6D"/>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27B42"/>
    <w:rsid w:val="00133D33"/>
    <w:rsid w:val="00134D64"/>
    <w:rsid w:val="00135A30"/>
    <w:rsid w:val="0013612C"/>
    <w:rsid w:val="00136E67"/>
    <w:rsid w:val="00137FF6"/>
    <w:rsid w:val="00141650"/>
    <w:rsid w:val="00162A12"/>
    <w:rsid w:val="00166530"/>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258CD"/>
    <w:rsid w:val="00230D00"/>
    <w:rsid w:val="00231DF7"/>
    <w:rsid w:val="00231FD1"/>
    <w:rsid w:val="002339E0"/>
    <w:rsid w:val="00233CF8"/>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1FAD"/>
    <w:rsid w:val="002C3040"/>
    <w:rsid w:val="002D022D"/>
    <w:rsid w:val="002D24BB"/>
    <w:rsid w:val="002D2C99"/>
    <w:rsid w:val="002F2AF7"/>
    <w:rsid w:val="002F7E1C"/>
    <w:rsid w:val="00301A75"/>
    <w:rsid w:val="00302F70"/>
    <w:rsid w:val="0030336F"/>
    <w:rsid w:val="0030375E"/>
    <w:rsid w:val="00312A30"/>
    <w:rsid w:val="00320F72"/>
    <w:rsid w:val="0032463E"/>
    <w:rsid w:val="00326224"/>
    <w:rsid w:val="00337EE4"/>
    <w:rsid w:val="00340FFD"/>
    <w:rsid w:val="003506B1"/>
    <w:rsid w:val="00356AC7"/>
    <w:rsid w:val="003609FA"/>
    <w:rsid w:val="003656CF"/>
    <w:rsid w:val="003710C8"/>
    <w:rsid w:val="003750BE"/>
    <w:rsid w:val="00387B9D"/>
    <w:rsid w:val="0039364F"/>
    <w:rsid w:val="00396686"/>
    <w:rsid w:val="0039778E"/>
    <w:rsid w:val="003B4941"/>
    <w:rsid w:val="003C5714"/>
    <w:rsid w:val="003C6B9F"/>
    <w:rsid w:val="003C6E2A"/>
    <w:rsid w:val="003D0299"/>
    <w:rsid w:val="003E6D80"/>
    <w:rsid w:val="003F05FA"/>
    <w:rsid w:val="003F244A"/>
    <w:rsid w:val="003F30B8"/>
    <w:rsid w:val="003F4C45"/>
    <w:rsid w:val="003F5F7B"/>
    <w:rsid w:val="003F7D64"/>
    <w:rsid w:val="00414300"/>
    <w:rsid w:val="00420F04"/>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36D5"/>
    <w:rsid w:val="00525208"/>
    <w:rsid w:val="005257A5"/>
    <w:rsid w:val="005264C0"/>
    <w:rsid w:val="00526A8A"/>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545C4"/>
    <w:rsid w:val="00661971"/>
    <w:rsid w:val="00661CE8"/>
    <w:rsid w:val="006623D9"/>
    <w:rsid w:val="0066550C"/>
    <w:rsid w:val="006716F2"/>
    <w:rsid w:val="00682BF2"/>
    <w:rsid w:val="006859CE"/>
    <w:rsid w:val="00685A89"/>
    <w:rsid w:val="00691270"/>
    <w:rsid w:val="00694BA8"/>
    <w:rsid w:val="006A037C"/>
    <w:rsid w:val="006A36F4"/>
    <w:rsid w:val="006A406F"/>
    <w:rsid w:val="006A5D3A"/>
    <w:rsid w:val="006C23D4"/>
    <w:rsid w:val="006C7BB0"/>
    <w:rsid w:val="006D2C0F"/>
    <w:rsid w:val="006D3237"/>
    <w:rsid w:val="006E2E37"/>
    <w:rsid w:val="006E3CF1"/>
    <w:rsid w:val="006E7E8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716F"/>
    <w:rsid w:val="007B2119"/>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65E22"/>
    <w:rsid w:val="008713A1"/>
    <w:rsid w:val="008754AB"/>
    <w:rsid w:val="0088060C"/>
    <w:rsid w:val="00893576"/>
    <w:rsid w:val="00893E73"/>
    <w:rsid w:val="008B02DC"/>
    <w:rsid w:val="008B57CE"/>
    <w:rsid w:val="008C26DE"/>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59AC"/>
    <w:rsid w:val="00926F38"/>
    <w:rsid w:val="00934301"/>
    <w:rsid w:val="00936CD1"/>
    <w:rsid w:val="00941747"/>
    <w:rsid w:val="00941EFB"/>
    <w:rsid w:val="00947AFB"/>
    <w:rsid w:val="00951D7D"/>
    <w:rsid w:val="009630C7"/>
    <w:rsid w:val="00972B55"/>
    <w:rsid w:val="009743B7"/>
    <w:rsid w:val="0098228B"/>
    <w:rsid w:val="009828DA"/>
    <w:rsid w:val="00985BAB"/>
    <w:rsid w:val="009B1B5F"/>
    <w:rsid w:val="009B6673"/>
    <w:rsid w:val="009C191B"/>
    <w:rsid w:val="009C2BD6"/>
    <w:rsid w:val="009E1F32"/>
    <w:rsid w:val="009E776C"/>
    <w:rsid w:val="009F65D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32C3"/>
    <w:rsid w:val="00AB4328"/>
    <w:rsid w:val="00AD3A03"/>
    <w:rsid w:val="00AE0A2E"/>
    <w:rsid w:val="00AE354C"/>
    <w:rsid w:val="00AF4B07"/>
    <w:rsid w:val="00AF6186"/>
    <w:rsid w:val="00AF7A3A"/>
    <w:rsid w:val="00B15D69"/>
    <w:rsid w:val="00B160DB"/>
    <w:rsid w:val="00B20836"/>
    <w:rsid w:val="00B235BB"/>
    <w:rsid w:val="00B27A44"/>
    <w:rsid w:val="00B30BBF"/>
    <w:rsid w:val="00B33C03"/>
    <w:rsid w:val="00B44E56"/>
    <w:rsid w:val="00B46543"/>
    <w:rsid w:val="00B47D33"/>
    <w:rsid w:val="00B52BE0"/>
    <w:rsid w:val="00B54133"/>
    <w:rsid w:val="00B62E11"/>
    <w:rsid w:val="00B701ED"/>
    <w:rsid w:val="00B8086C"/>
    <w:rsid w:val="00B861B4"/>
    <w:rsid w:val="00B86DFE"/>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226"/>
    <w:rsid w:val="00C41974"/>
    <w:rsid w:val="00C41981"/>
    <w:rsid w:val="00C535F5"/>
    <w:rsid w:val="00C53F4A"/>
    <w:rsid w:val="00C54125"/>
    <w:rsid w:val="00C55B54"/>
    <w:rsid w:val="00C6098E"/>
    <w:rsid w:val="00C6152C"/>
    <w:rsid w:val="00C74810"/>
    <w:rsid w:val="00C90D68"/>
    <w:rsid w:val="00C939FE"/>
    <w:rsid w:val="00CA4BDA"/>
    <w:rsid w:val="00CB1F66"/>
    <w:rsid w:val="00CB2951"/>
    <w:rsid w:val="00CD282B"/>
    <w:rsid w:val="00CD4C35"/>
    <w:rsid w:val="00CD5A52"/>
    <w:rsid w:val="00CD7369"/>
    <w:rsid w:val="00CE0B0E"/>
    <w:rsid w:val="00CE3831"/>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6EE5"/>
    <w:rsid w:val="00DE386C"/>
    <w:rsid w:val="00DE4D35"/>
    <w:rsid w:val="00DF098B"/>
    <w:rsid w:val="00DF11C4"/>
    <w:rsid w:val="00DF210C"/>
    <w:rsid w:val="00DF4B6A"/>
    <w:rsid w:val="00E0013C"/>
    <w:rsid w:val="00E02C09"/>
    <w:rsid w:val="00E04D59"/>
    <w:rsid w:val="00E07DA1"/>
    <w:rsid w:val="00E123CB"/>
    <w:rsid w:val="00E20E13"/>
    <w:rsid w:val="00E21DBC"/>
    <w:rsid w:val="00E275D7"/>
    <w:rsid w:val="00E27DBE"/>
    <w:rsid w:val="00E32AB1"/>
    <w:rsid w:val="00E36C71"/>
    <w:rsid w:val="00E37CB1"/>
    <w:rsid w:val="00E40404"/>
    <w:rsid w:val="00E459C6"/>
    <w:rsid w:val="00E47589"/>
    <w:rsid w:val="00E64915"/>
    <w:rsid w:val="00E661D4"/>
    <w:rsid w:val="00E70091"/>
    <w:rsid w:val="00E720F5"/>
    <w:rsid w:val="00E76D47"/>
    <w:rsid w:val="00E849F7"/>
    <w:rsid w:val="00E90302"/>
    <w:rsid w:val="00E97396"/>
    <w:rsid w:val="00EA185E"/>
    <w:rsid w:val="00EA592A"/>
    <w:rsid w:val="00EB14E4"/>
    <w:rsid w:val="00EB32A5"/>
    <w:rsid w:val="00EB34ED"/>
    <w:rsid w:val="00EB7BE0"/>
    <w:rsid w:val="00EC315E"/>
    <w:rsid w:val="00ED077C"/>
    <w:rsid w:val="00ED1190"/>
    <w:rsid w:val="00ED6544"/>
    <w:rsid w:val="00EE0277"/>
    <w:rsid w:val="00EE3E00"/>
    <w:rsid w:val="00EE5DD2"/>
    <w:rsid w:val="00EE6FC9"/>
    <w:rsid w:val="00F00A79"/>
    <w:rsid w:val="00F00E86"/>
    <w:rsid w:val="00F05F90"/>
    <w:rsid w:val="00F07C1E"/>
    <w:rsid w:val="00F105DB"/>
    <w:rsid w:val="00F132BC"/>
    <w:rsid w:val="00F13D80"/>
    <w:rsid w:val="00F16AAA"/>
    <w:rsid w:val="00F21161"/>
    <w:rsid w:val="00F218EF"/>
    <w:rsid w:val="00F21BC7"/>
    <w:rsid w:val="00F266A2"/>
    <w:rsid w:val="00F32269"/>
    <w:rsid w:val="00F5432B"/>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B62E11"/>
    <w:pPr>
      <w:jc w:val="both"/>
    </w:pPr>
    <w:rPr>
      <w:rFonts w:eastAsiaTheme="minorEastAsia"/>
      <w:sz w:val="24"/>
    </w:rPr>
  </w:style>
  <w:style w:type="paragraph" w:styleId="Titolo1">
    <w:name w:val="heading 1"/>
    <w:basedOn w:val="Normale"/>
    <w:next w:val="Normale"/>
    <w:link w:val="Titolo1Carattere"/>
    <w:uiPriority w:val="99"/>
    <w:rsid w:val="00B62E11"/>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rsid w:val="00B62E11"/>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rsid w:val="00B62E11"/>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rsid w:val="00B62E11"/>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qFormat/>
    <w:rsid w:val="00B62E11"/>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rsid w:val="00B62E11"/>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qFormat/>
    <w:rsid w:val="00B62E11"/>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qFormat/>
    <w:rsid w:val="00B62E11"/>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qFormat/>
    <w:rsid w:val="00B62E11"/>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B62E1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62E11"/>
    <w:rPr>
      <w:rFonts w:ascii="Tahoma" w:eastAsiaTheme="minorEastAsia" w:hAnsi="Tahoma" w:cs="Tahoma"/>
      <w:sz w:val="16"/>
      <w:szCs w:val="16"/>
    </w:rPr>
  </w:style>
  <w:style w:type="character" w:styleId="Titolodellibro">
    <w:name w:val="Book Title"/>
    <w:uiPriority w:val="99"/>
    <w:semiHidden/>
    <w:qFormat/>
    <w:rsid w:val="00B62E11"/>
    <w:rPr>
      <w:i/>
      <w:iCs/>
      <w:smallCaps/>
      <w:spacing w:val="5"/>
    </w:rPr>
  </w:style>
  <w:style w:type="paragraph" w:customStyle="1" w:styleId="ECHRHeader">
    <w:name w:val="ECHR_Header"/>
    <w:aliases w:val="Ju_Header"/>
    <w:basedOn w:val="Intestazione"/>
    <w:uiPriority w:val="4"/>
    <w:qFormat/>
    <w:rsid w:val="00B62E11"/>
    <w:pPr>
      <w:tabs>
        <w:tab w:val="clear" w:pos="4536"/>
        <w:tab w:val="clear" w:pos="9072"/>
        <w:tab w:val="center" w:pos="3686"/>
        <w:tab w:val="right" w:pos="7371"/>
      </w:tabs>
      <w:jc w:val="left"/>
    </w:pPr>
    <w:rPr>
      <w:sz w:val="18"/>
    </w:rPr>
  </w:style>
  <w:style w:type="paragraph" w:customStyle="1" w:styleId="ECHRFooter">
    <w:name w:val="ECHR_Footer"/>
    <w:aliases w:val="Footer_ECHR"/>
    <w:basedOn w:val="Pidipagina"/>
    <w:uiPriority w:val="57"/>
    <w:semiHidden/>
    <w:rsid w:val="00B62E11"/>
    <w:pPr>
      <w:jc w:val="left"/>
    </w:pPr>
    <w:rPr>
      <w:sz w:val="8"/>
    </w:rPr>
  </w:style>
  <w:style w:type="character" w:styleId="Enfasigrassetto">
    <w:name w:val="Strong"/>
    <w:uiPriority w:val="99"/>
    <w:qFormat/>
    <w:rsid w:val="00B62E11"/>
    <w:rPr>
      <w:b/>
      <w:bCs/>
    </w:rPr>
  </w:style>
  <w:style w:type="paragraph" w:styleId="Nessunaspaziatura">
    <w:name w:val="No Spacing"/>
    <w:basedOn w:val="Normale"/>
    <w:link w:val="NessunaspaziaturaCarattere"/>
    <w:semiHidden/>
    <w:qFormat/>
    <w:rsid w:val="00B62E11"/>
  </w:style>
  <w:style w:type="character" w:customStyle="1" w:styleId="NessunaspaziaturaCarattere">
    <w:name w:val="Nessuna spaziatura Carattere"/>
    <w:basedOn w:val="Carpredefinitoparagrafo"/>
    <w:link w:val="Nessunaspaziatura"/>
    <w:semiHidden/>
    <w:rsid w:val="00B62E11"/>
    <w:rPr>
      <w:rFonts w:eastAsiaTheme="minorEastAsia"/>
      <w:sz w:val="24"/>
    </w:rPr>
  </w:style>
  <w:style w:type="paragraph" w:customStyle="1" w:styleId="ECHRParaQuote">
    <w:name w:val="ECHR_Para_Quote"/>
    <w:aliases w:val="Ju_Quot"/>
    <w:basedOn w:val="Normale"/>
    <w:uiPriority w:val="14"/>
    <w:qFormat/>
    <w:rsid w:val="00B62E11"/>
    <w:pPr>
      <w:spacing w:before="120" w:after="120"/>
      <w:ind w:left="425" w:firstLine="142"/>
    </w:pPr>
    <w:rPr>
      <w:sz w:val="20"/>
    </w:rPr>
  </w:style>
  <w:style w:type="paragraph" w:customStyle="1" w:styleId="ECHRFooterLine">
    <w:name w:val="ECHR_Footer_Line"/>
    <w:aliases w:val="Footer_Line"/>
    <w:basedOn w:val="Normale"/>
    <w:next w:val="ECHRFooter"/>
    <w:uiPriority w:val="57"/>
    <w:semiHidden/>
    <w:rsid w:val="00B62E11"/>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e"/>
    <w:uiPriority w:val="5"/>
    <w:qFormat/>
    <w:rsid w:val="00B62E11"/>
    <w:pPr>
      <w:numPr>
        <w:numId w:val="14"/>
      </w:numPr>
      <w:jc w:val="left"/>
    </w:pPr>
    <w:rPr>
      <w:b/>
    </w:rPr>
  </w:style>
  <w:style w:type="paragraph" w:customStyle="1" w:styleId="OpiPara">
    <w:name w:val="Opi_Para"/>
    <w:basedOn w:val="ECHRPara"/>
    <w:uiPriority w:val="46"/>
    <w:semiHidden/>
    <w:qFormat/>
    <w:rsid w:val="00B62E11"/>
  </w:style>
  <w:style w:type="paragraph" w:customStyle="1" w:styleId="JuParaSub">
    <w:name w:val="Ju_Para_Sub"/>
    <w:basedOn w:val="ECHRPara"/>
    <w:uiPriority w:val="13"/>
    <w:qFormat/>
    <w:rsid w:val="00B62E11"/>
    <w:pPr>
      <w:ind w:left="284"/>
    </w:pPr>
  </w:style>
  <w:style w:type="paragraph" w:customStyle="1" w:styleId="ECHRTitleCentre3">
    <w:name w:val="ECHR_Title_Centre_3"/>
    <w:aliases w:val="Ju_H_Article"/>
    <w:basedOn w:val="Normale"/>
    <w:next w:val="ECHRParaQuote"/>
    <w:uiPriority w:val="27"/>
    <w:qFormat/>
    <w:rsid w:val="00B62E11"/>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B62E11"/>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semiHidden/>
    <w:qFormat/>
    <w:rsid w:val="00B62E11"/>
  </w:style>
  <w:style w:type="paragraph" w:customStyle="1" w:styleId="ECHRTitle1">
    <w:name w:val="ECHR_Title_1"/>
    <w:aliases w:val="Ju_H_Head"/>
    <w:basedOn w:val="Normale"/>
    <w:next w:val="ECHRPara"/>
    <w:uiPriority w:val="18"/>
    <w:qFormat/>
    <w:rsid w:val="00B62E11"/>
    <w:pPr>
      <w:keepNext/>
      <w:keepLines/>
      <w:spacing w:before="720" w:after="240"/>
      <w:outlineLvl w:val="0"/>
    </w:pPr>
    <w:rPr>
      <w:rFonts w:asciiTheme="majorHAnsi" w:hAnsiTheme="majorHAnsi"/>
      <w:sz w:val="28"/>
    </w:rPr>
  </w:style>
  <w:style w:type="paragraph" w:customStyle="1" w:styleId="OpiQuot">
    <w:name w:val="Opi_Quot"/>
    <w:basedOn w:val="ECHRParaQuote"/>
    <w:uiPriority w:val="48"/>
    <w:semiHidden/>
    <w:qFormat/>
    <w:rsid w:val="00B62E11"/>
  </w:style>
  <w:style w:type="paragraph" w:customStyle="1" w:styleId="JuSigned">
    <w:name w:val="Ju_Signed"/>
    <w:basedOn w:val="Normale"/>
    <w:next w:val="JuParaLast"/>
    <w:uiPriority w:val="32"/>
    <w:qFormat/>
    <w:rsid w:val="00B62E11"/>
    <w:pPr>
      <w:tabs>
        <w:tab w:val="center" w:pos="851"/>
        <w:tab w:val="center" w:pos="6407"/>
      </w:tabs>
      <w:spacing w:before="720"/>
      <w:jc w:val="left"/>
    </w:pPr>
  </w:style>
  <w:style w:type="paragraph" w:styleId="Titolo">
    <w:name w:val="Title"/>
    <w:basedOn w:val="Normale"/>
    <w:next w:val="Normale"/>
    <w:link w:val="TitoloCarattere"/>
    <w:uiPriority w:val="99"/>
    <w:semiHidden/>
    <w:qFormat/>
    <w:rsid w:val="00B62E1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B62E11"/>
    <w:rPr>
      <w:rFonts w:asciiTheme="majorHAnsi" w:eastAsiaTheme="majorEastAsia" w:hAnsiTheme="majorHAnsi" w:cstheme="majorBidi"/>
      <w:spacing w:val="5"/>
      <w:sz w:val="52"/>
      <w:szCs w:val="52"/>
      <w:lang w:bidi="en-US"/>
    </w:rPr>
  </w:style>
  <w:style w:type="paragraph" w:customStyle="1" w:styleId="OpiQuotSub">
    <w:name w:val="Opi_Quot_Sub"/>
    <w:basedOn w:val="JuQuotSub"/>
    <w:uiPriority w:val="49"/>
    <w:semiHidden/>
    <w:qFormat/>
    <w:rsid w:val="00B62E11"/>
  </w:style>
  <w:style w:type="paragraph" w:customStyle="1" w:styleId="ECHRTitleCentre2">
    <w:name w:val="ECHR_Title_Centre_2"/>
    <w:aliases w:val="Dec_H_Case"/>
    <w:basedOn w:val="Normale"/>
    <w:next w:val="ECHRPara"/>
    <w:uiPriority w:val="8"/>
    <w:qFormat/>
    <w:rsid w:val="00B62E11"/>
    <w:pPr>
      <w:spacing w:after="240"/>
      <w:jc w:val="center"/>
      <w:outlineLvl w:val="0"/>
    </w:pPr>
    <w:rPr>
      <w:rFonts w:asciiTheme="majorHAnsi" w:hAnsiTheme="majorHAnsi"/>
    </w:rPr>
  </w:style>
  <w:style w:type="paragraph" w:customStyle="1" w:styleId="JuTitle">
    <w:name w:val="Ju_Title"/>
    <w:basedOn w:val="Normale"/>
    <w:next w:val="ECHRPara"/>
    <w:uiPriority w:val="3"/>
    <w:qFormat/>
    <w:rsid w:val="00B62E11"/>
    <w:pPr>
      <w:spacing w:before="720" w:after="240"/>
      <w:jc w:val="center"/>
      <w:outlineLvl w:val="0"/>
    </w:pPr>
    <w:rPr>
      <w:rFonts w:asciiTheme="majorHAnsi" w:hAnsiTheme="majorHAnsi"/>
      <w:b/>
      <w:caps/>
    </w:rPr>
  </w:style>
  <w:style w:type="paragraph" w:customStyle="1" w:styleId="JuQuotSub">
    <w:name w:val="Ju_Quot_Sub"/>
    <w:basedOn w:val="ECHRParaQuote"/>
    <w:uiPriority w:val="15"/>
    <w:qFormat/>
    <w:rsid w:val="00B62E11"/>
    <w:pPr>
      <w:ind w:left="567"/>
    </w:pPr>
  </w:style>
  <w:style w:type="paragraph" w:customStyle="1" w:styleId="JuInitialled">
    <w:name w:val="Ju_Initialled"/>
    <w:basedOn w:val="Normale"/>
    <w:uiPriority w:val="31"/>
    <w:qFormat/>
    <w:rsid w:val="00B62E11"/>
    <w:pPr>
      <w:tabs>
        <w:tab w:val="center" w:pos="6407"/>
      </w:tabs>
      <w:spacing w:before="720"/>
      <w:jc w:val="right"/>
    </w:pPr>
  </w:style>
  <w:style w:type="paragraph" w:customStyle="1" w:styleId="ECHRHeading1">
    <w:name w:val="ECHR_Heading_1"/>
    <w:aliases w:val="Ju_H_I_Roman"/>
    <w:basedOn w:val="Titolo1"/>
    <w:next w:val="ECHRPara"/>
    <w:link w:val="JuHIRomanChar"/>
    <w:uiPriority w:val="19"/>
    <w:qFormat/>
    <w:rsid w:val="00B62E11"/>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B62E11"/>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B62E11"/>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rsid w:val="00B62E11"/>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rsid w:val="00B62E11"/>
    <w:rPr>
      <w:sz w:val="24"/>
    </w:rPr>
  </w:style>
  <w:style w:type="character" w:customStyle="1" w:styleId="Titolo1Carattere">
    <w:name w:val="Titolo 1 Carattere"/>
    <w:basedOn w:val="Carpredefinitoparagrafo"/>
    <w:link w:val="Titolo1"/>
    <w:uiPriority w:val="99"/>
    <w:rsid w:val="00B62E11"/>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uiPriority w:val="22"/>
    <w:qFormat/>
    <w:rsid w:val="00B62E11"/>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B62E11"/>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rsid w:val="00B62E11"/>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B62E11"/>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B62E11"/>
    <w:pPr>
      <w:keepNext/>
      <w:keepLines/>
      <w:spacing w:before="240" w:after="120"/>
      <w:ind w:left="1236"/>
    </w:pPr>
    <w:rPr>
      <w:sz w:val="20"/>
    </w:rPr>
  </w:style>
  <w:style w:type="character" w:customStyle="1" w:styleId="Titolo3Carattere">
    <w:name w:val="Titolo 3 Carattere"/>
    <w:basedOn w:val="Carpredefinitoparagrafo"/>
    <w:link w:val="Titolo3"/>
    <w:uiPriority w:val="99"/>
    <w:rsid w:val="00B62E11"/>
    <w:rPr>
      <w:rFonts w:asciiTheme="majorHAnsi" w:eastAsiaTheme="majorEastAsia" w:hAnsiTheme="majorHAnsi" w:cstheme="majorBidi"/>
      <w:b/>
      <w:bCs/>
      <w:color w:val="5F5F5F"/>
      <w:sz w:val="24"/>
    </w:rPr>
  </w:style>
  <w:style w:type="paragraph" w:customStyle="1" w:styleId="JuParaLast">
    <w:name w:val="Ju_Para_Last"/>
    <w:basedOn w:val="Normale"/>
    <w:next w:val="ECHRPara"/>
    <w:uiPriority w:val="30"/>
    <w:qFormat/>
    <w:rsid w:val="00B62E11"/>
    <w:pPr>
      <w:keepNext/>
      <w:keepLines/>
      <w:spacing w:before="240"/>
      <w:ind w:firstLine="284"/>
    </w:pPr>
  </w:style>
  <w:style w:type="paragraph" w:customStyle="1" w:styleId="JuList">
    <w:name w:val="Ju_List"/>
    <w:basedOn w:val="Normale"/>
    <w:uiPriority w:val="28"/>
    <w:qFormat/>
    <w:rsid w:val="00B62E11"/>
    <w:pPr>
      <w:ind w:left="340" w:hanging="340"/>
    </w:pPr>
  </w:style>
  <w:style w:type="character" w:customStyle="1" w:styleId="Titolo4Carattere">
    <w:name w:val="Titolo 4 Carattere"/>
    <w:basedOn w:val="Carpredefinitoparagrafo"/>
    <w:link w:val="Titolo4"/>
    <w:uiPriority w:val="99"/>
    <w:rsid w:val="00B62E11"/>
    <w:rPr>
      <w:rFonts w:asciiTheme="majorHAnsi" w:eastAsiaTheme="majorEastAsia" w:hAnsiTheme="majorHAnsi" w:cstheme="majorBidi"/>
      <w:b/>
      <w:bCs/>
      <w:i/>
      <w:iCs/>
      <w:color w:val="777777"/>
      <w:sz w:val="24"/>
    </w:rPr>
  </w:style>
  <w:style w:type="paragraph" w:customStyle="1" w:styleId="JuLista">
    <w:name w:val="Ju_List_a"/>
    <w:basedOn w:val="JuList"/>
    <w:uiPriority w:val="28"/>
    <w:qFormat/>
    <w:rsid w:val="00B62E11"/>
    <w:pPr>
      <w:ind w:left="346" w:firstLine="0"/>
    </w:pPr>
  </w:style>
  <w:style w:type="character" w:customStyle="1" w:styleId="Titolo5Carattere">
    <w:name w:val="Titolo 5 Carattere"/>
    <w:basedOn w:val="Carpredefinitoparagrafo"/>
    <w:link w:val="Titolo5"/>
    <w:uiPriority w:val="99"/>
    <w:rsid w:val="00B62E11"/>
    <w:rPr>
      <w:rFonts w:asciiTheme="majorHAnsi" w:eastAsiaTheme="majorEastAsia" w:hAnsiTheme="majorHAnsi" w:cstheme="majorBidi"/>
      <w:b/>
      <w:bCs/>
      <w:color w:val="808080"/>
      <w:sz w:val="24"/>
    </w:rPr>
  </w:style>
  <w:style w:type="paragraph" w:customStyle="1" w:styleId="JuListi">
    <w:name w:val="Ju_List_i"/>
    <w:basedOn w:val="Normale"/>
    <w:next w:val="JuLista"/>
    <w:uiPriority w:val="28"/>
    <w:qFormat/>
    <w:rsid w:val="00B62E11"/>
    <w:pPr>
      <w:ind w:left="794"/>
    </w:pPr>
  </w:style>
  <w:style w:type="paragraph" w:customStyle="1" w:styleId="OpiHA">
    <w:name w:val="Opi_H_A"/>
    <w:basedOn w:val="ECHRHeading1"/>
    <w:next w:val="OpiPara"/>
    <w:uiPriority w:val="41"/>
    <w:semiHidden/>
    <w:qFormat/>
    <w:rsid w:val="00B62E11"/>
    <w:pPr>
      <w:tabs>
        <w:tab w:val="clear" w:pos="357"/>
      </w:tabs>
      <w:outlineLvl w:val="1"/>
    </w:pPr>
    <w:rPr>
      <w:b/>
    </w:rPr>
  </w:style>
  <w:style w:type="character" w:styleId="Enfasidelicata">
    <w:name w:val="Subtle Emphasis"/>
    <w:uiPriority w:val="99"/>
    <w:semiHidden/>
    <w:qFormat/>
    <w:rsid w:val="00B62E11"/>
    <w:rPr>
      <w:i/>
      <w:iCs/>
    </w:rPr>
  </w:style>
  <w:style w:type="character" w:customStyle="1" w:styleId="JUNAMES">
    <w:name w:val="JU_NAMES"/>
    <w:uiPriority w:val="17"/>
    <w:qFormat/>
    <w:rsid w:val="00B62E11"/>
    <w:rPr>
      <w:caps w:val="0"/>
      <w:smallCap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customStyle="1" w:styleId="JuITMark">
    <w:name w:val="Ju_ITMark"/>
    <w:basedOn w:val="Carpredefinitoparagrafo"/>
    <w:uiPriority w:val="38"/>
    <w:qFormat/>
    <w:rsid w:val="00B62E11"/>
    <w:rPr>
      <w:vanish w:val="0"/>
      <w:color w:val="auto"/>
      <w:sz w:val="14"/>
    </w:rPr>
  </w:style>
  <w:style w:type="paragraph" w:customStyle="1" w:styleId="OpiTranslation">
    <w:name w:val="Opi_Translation"/>
    <w:basedOn w:val="Normale"/>
    <w:next w:val="OpiPara"/>
    <w:uiPriority w:val="40"/>
    <w:semiHidden/>
    <w:qFormat/>
    <w:rsid w:val="00B62E11"/>
    <w:pPr>
      <w:jc w:val="center"/>
      <w:outlineLvl w:val="0"/>
    </w:pPr>
    <w:rPr>
      <w:i/>
    </w:rPr>
  </w:style>
  <w:style w:type="paragraph" w:styleId="Sottotitolo">
    <w:name w:val="Subtitle"/>
    <w:basedOn w:val="Normale"/>
    <w:next w:val="Normale"/>
    <w:link w:val="SottotitoloCarattere"/>
    <w:uiPriority w:val="99"/>
    <w:semiHidden/>
    <w:qFormat/>
    <w:rsid w:val="00B62E11"/>
    <w:pPr>
      <w:spacing w:after="600"/>
    </w:pPr>
    <w:rPr>
      <w:rFonts w:asciiTheme="majorHAnsi" w:eastAsiaTheme="majorEastAsia" w:hAnsiTheme="majorHAnsi" w:cstheme="majorBidi"/>
      <w:i/>
      <w:iCs/>
      <w:spacing w:val="13"/>
      <w:szCs w:val="24"/>
      <w:lang w:bidi="en-US"/>
    </w:rPr>
  </w:style>
  <w:style w:type="character" w:styleId="Enfasicorsivo">
    <w:name w:val="Emphasis"/>
    <w:uiPriority w:val="99"/>
    <w:semiHidden/>
    <w:qFormat/>
    <w:rsid w:val="00B62E11"/>
    <w:rPr>
      <w:b/>
      <w:bCs/>
      <w:i/>
      <w:iCs/>
      <w:spacing w:val="10"/>
      <w:bdr w:val="none" w:sz="0" w:space="0" w:color="auto"/>
      <w:shd w:val="clear" w:color="auto" w:fill="auto"/>
    </w:rPr>
  </w:style>
  <w:style w:type="paragraph" w:styleId="Pidipagina">
    <w:name w:val="footer"/>
    <w:basedOn w:val="Normale"/>
    <w:link w:val="PidipaginaCarattere"/>
    <w:uiPriority w:val="57"/>
    <w:rsid w:val="00B62E11"/>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rsid w:val="00B62E11"/>
    <w:rPr>
      <w:sz w:val="24"/>
    </w:rPr>
  </w:style>
  <w:style w:type="character" w:styleId="Rimandonotaapidipagina">
    <w:name w:val="footnote reference"/>
    <w:basedOn w:val="Carpredefinitoparagrafo"/>
    <w:uiPriority w:val="99"/>
    <w:semiHidden/>
    <w:rsid w:val="00B62E11"/>
    <w:rPr>
      <w:vertAlign w:val="superscript"/>
    </w:rPr>
  </w:style>
  <w:style w:type="paragraph" w:styleId="Testonotaapidipagina">
    <w:name w:val="footnote text"/>
    <w:basedOn w:val="Normale"/>
    <w:link w:val="TestonotaapidipaginaCarattere"/>
    <w:uiPriority w:val="99"/>
    <w:semiHidden/>
    <w:rsid w:val="00B62E11"/>
    <w:rPr>
      <w:sz w:val="20"/>
      <w:szCs w:val="20"/>
    </w:rPr>
  </w:style>
  <w:style w:type="character" w:customStyle="1" w:styleId="TestonotaapidipaginaCarattere">
    <w:name w:val="Testo nota a piè di pagina Carattere"/>
    <w:basedOn w:val="Carpredefinitoparagrafo"/>
    <w:link w:val="Testonotaapidipagina"/>
    <w:uiPriority w:val="99"/>
    <w:semiHidden/>
    <w:rsid w:val="00B62E11"/>
    <w:rPr>
      <w:rFonts w:eastAsiaTheme="minorEastAsia"/>
      <w:sz w:val="20"/>
      <w:szCs w:val="20"/>
    </w:rPr>
  </w:style>
  <w:style w:type="character" w:customStyle="1" w:styleId="Titolo6Carattere">
    <w:name w:val="Titolo 6 Carattere"/>
    <w:basedOn w:val="Carpredefinitoparagrafo"/>
    <w:link w:val="Titolo6"/>
    <w:uiPriority w:val="99"/>
    <w:rsid w:val="00B62E11"/>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rsid w:val="00B62E11"/>
    <w:rPr>
      <w:rFonts w:asciiTheme="majorHAnsi" w:eastAsiaTheme="majorEastAsia" w:hAnsiTheme="majorHAnsi" w:cstheme="majorBidi"/>
      <w:i/>
      <w:iCs/>
      <w:sz w:val="24"/>
      <w:lang w:bidi="en-US"/>
    </w:rPr>
  </w:style>
  <w:style w:type="character" w:customStyle="1" w:styleId="Titolo8Carattere">
    <w:name w:val="Titolo 8 Carattere"/>
    <w:basedOn w:val="Carpredefinitoparagrafo"/>
    <w:link w:val="Titolo8"/>
    <w:uiPriority w:val="99"/>
    <w:rsid w:val="00B62E11"/>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rsid w:val="00B62E11"/>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rsid w:val="00B62E11"/>
    <w:rPr>
      <w:color w:val="0072BC" w:themeColor="hyperlink"/>
      <w:u w:val="single"/>
    </w:rPr>
  </w:style>
  <w:style w:type="character" w:styleId="Enfasiintensa">
    <w:name w:val="Intense Emphasis"/>
    <w:uiPriority w:val="99"/>
    <w:semiHidden/>
    <w:qFormat/>
    <w:rsid w:val="00B62E11"/>
    <w:rPr>
      <w:b/>
      <w:bCs/>
    </w:rPr>
  </w:style>
  <w:style w:type="paragraph" w:styleId="Citazioneintensa">
    <w:name w:val="Intense Quote"/>
    <w:basedOn w:val="Normale"/>
    <w:next w:val="Normale"/>
    <w:link w:val="CitazioneintensaCarattere"/>
    <w:uiPriority w:val="99"/>
    <w:semiHidden/>
    <w:qFormat/>
    <w:rsid w:val="00B62E11"/>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B62E11"/>
    <w:rPr>
      <w:rFonts w:eastAsiaTheme="minorEastAsia"/>
      <w:b/>
      <w:bCs/>
      <w:i/>
      <w:iCs/>
      <w:sz w:val="24"/>
      <w:lang w:bidi="en-US"/>
    </w:rPr>
  </w:style>
  <w:style w:type="character" w:styleId="Riferimentointenso">
    <w:name w:val="Intense Reference"/>
    <w:uiPriority w:val="99"/>
    <w:semiHidden/>
    <w:qFormat/>
    <w:rsid w:val="00B62E11"/>
    <w:rPr>
      <w:smallCaps/>
      <w:spacing w:val="5"/>
      <w:u w:val="single"/>
    </w:rPr>
  </w:style>
  <w:style w:type="paragraph" w:styleId="Paragrafoelenco">
    <w:name w:val="List Paragraph"/>
    <w:basedOn w:val="Normale"/>
    <w:uiPriority w:val="99"/>
    <w:semiHidden/>
    <w:qFormat/>
    <w:rsid w:val="00B62E11"/>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B62E11"/>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B62E11"/>
    <w:rPr>
      <w:rFonts w:eastAsiaTheme="minorEastAsia"/>
      <w:i/>
      <w:iCs/>
      <w:sz w:val="24"/>
      <w:lang w:bidi="en-US"/>
    </w:rPr>
  </w:style>
  <w:style w:type="character" w:styleId="Riferimentodelicato">
    <w:name w:val="Subtle Reference"/>
    <w:uiPriority w:val="99"/>
    <w:semiHidden/>
    <w:qFormat/>
    <w:rsid w:val="00B62E11"/>
    <w:rPr>
      <w:smallCaps/>
    </w:rPr>
  </w:style>
  <w:style w:type="table" w:styleId="Grigliatabella">
    <w:name w:val="Table Grid"/>
    <w:basedOn w:val="Tabellanormale"/>
    <w:uiPriority w:val="59"/>
    <w:rsid w:val="00B62E1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B62E11"/>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B62E11"/>
    <w:pPr>
      <w:spacing w:after="60"/>
      <w:ind w:left="680" w:right="340" w:hanging="340"/>
    </w:pPr>
  </w:style>
  <w:style w:type="paragraph" w:styleId="Sommario3">
    <w:name w:val="toc 3"/>
    <w:basedOn w:val="Normale"/>
    <w:next w:val="Normale"/>
    <w:autoRedefine/>
    <w:uiPriority w:val="99"/>
    <w:semiHidden/>
    <w:rsid w:val="00B62E11"/>
    <w:pPr>
      <w:spacing w:after="60"/>
      <w:ind w:left="1020" w:right="340" w:hanging="340"/>
    </w:pPr>
  </w:style>
  <w:style w:type="paragraph" w:styleId="Sommario4">
    <w:name w:val="toc 4"/>
    <w:basedOn w:val="Normale"/>
    <w:next w:val="Normale"/>
    <w:autoRedefine/>
    <w:uiPriority w:val="99"/>
    <w:semiHidden/>
    <w:rsid w:val="00B62E11"/>
    <w:pPr>
      <w:tabs>
        <w:tab w:val="right" w:leader="dot" w:pos="9017"/>
      </w:tabs>
      <w:spacing w:after="60"/>
      <w:ind w:left="1361" w:right="340" w:hanging="340"/>
    </w:pPr>
  </w:style>
  <w:style w:type="paragraph" w:styleId="Sommario5">
    <w:name w:val="toc 5"/>
    <w:basedOn w:val="Normale"/>
    <w:next w:val="Normale"/>
    <w:autoRedefine/>
    <w:uiPriority w:val="99"/>
    <w:semiHidden/>
    <w:rsid w:val="00B62E11"/>
    <w:pPr>
      <w:spacing w:after="60"/>
      <w:ind w:left="1701" w:right="340" w:hanging="340"/>
    </w:pPr>
  </w:style>
  <w:style w:type="paragraph" w:styleId="Titolosommario">
    <w:name w:val="TOC Heading"/>
    <w:basedOn w:val="Titolo1"/>
    <w:next w:val="Normale"/>
    <w:uiPriority w:val="99"/>
    <w:semiHidden/>
    <w:qFormat/>
    <w:rsid w:val="00B62E11"/>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B62E11"/>
    <w:pPr>
      <w:spacing w:before="120"/>
    </w:pPr>
    <w:rPr>
      <w:rFonts w:asciiTheme="majorHAnsi" w:eastAsiaTheme="majorEastAsia" w:hAnsiTheme="majorHAnsi" w:cstheme="majorBidi"/>
      <w:b/>
      <w:bCs/>
      <w:color w:val="474747" w:themeColor="accent3" w:themeShade="BF"/>
      <w:szCs w:val="24"/>
    </w:rPr>
  </w:style>
  <w:style w:type="character" w:customStyle="1" w:styleId="SottotitoloCarattere">
    <w:name w:val="Sottotitolo Carattere"/>
    <w:basedOn w:val="Carpredefinitoparagrafo"/>
    <w:link w:val="Sottotitolo"/>
    <w:uiPriority w:val="99"/>
    <w:semiHidden/>
    <w:rsid w:val="00B62E11"/>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unhideWhenUsed/>
    <w:rsid w:val="002D2C99"/>
    <w:pPr>
      <w:numPr>
        <w:numId w:val="2"/>
      </w:numPr>
    </w:pPr>
  </w:style>
  <w:style w:type="numbering" w:styleId="1ai">
    <w:name w:val="Outline List 1"/>
    <w:basedOn w:val="Nessunelenco"/>
    <w:uiPriority w:val="99"/>
    <w:semiHidden/>
    <w:unhideWhenUsed/>
    <w:rsid w:val="002D2C99"/>
    <w:pPr>
      <w:numPr>
        <w:numId w:val="3"/>
      </w:numPr>
    </w:pPr>
  </w:style>
  <w:style w:type="paragraph" w:customStyle="1" w:styleId="ECHRPara">
    <w:name w:val="ECHR_Para"/>
    <w:aliases w:val="Ju_Para"/>
    <w:basedOn w:val="Normale"/>
    <w:link w:val="ECHRParaChar"/>
    <w:uiPriority w:val="12"/>
    <w:qFormat/>
    <w:rsid w:val="00B62E11"/>
    <w:pPr>
      <w:ind w:firstLine="284"/>
    </w:pPr>
  </w:style>
  <w:style w:type="numbering" w:styleId="ArticoloSezione">
    <w:name w:val="Outline List 3"/>
    <w:basedOn w:val="Nessunelenco"/>
    <w:uiPriority w:val="99"/>
    <w:semiHidden/>
    <w:unhideWhenUsed/>
    <w:rsid w:val="002D2C99"/>
    <w:pPr>
      <w:numPr>
        <w:numId w:val="4"/>
      </w:numPr>
    </w:p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paragraph" w:styleId="Bibliografia">
    <w:name w:val="Bibliography"/>
    <w:basedOn w:val="Normale"/>
    <w:next w:val="Normale"/>
    <w:uiPriority w:val="99"/>
    <w:semiHidden/>
    <w:rsid w:val="002D2C99"/>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B62E11"/>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Testodelblocco">
    <w:name w:val="Block Text"/>
    <w:basedOn w:val="Normale"/>
    <w:uiPriority w:val="99"/>
    <w:semiHidden/>
    <w:rsid w:val="002D2C99"/>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paragraph" w:styleId="Corpotesto">
    <w:name w:val="Body Text"/>
    <w:basedOn w:val="Normale"/>
    <w:link w:val="CorpotestoCarattere"/>
    <w:uiPriority w:val="99"/>
    <w:semiHidden/>
    <w:rsid w:val="002D2C99"/>
    <w:pPr>
      <w:spacing w:after="120"/>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character" w:customStyle="1" w:styleId="CorpotestoCarattere">
    <w:name w:val="Corpo testo Carattere"/>
    <w:basedOn w:val="Carpredefinitoparagrafo"/>
    <w:link w:val="Corpotesto"/>
    <w:uiPriority w:val="99"/>
    <w:semiHidden/>
    <w:rsid w:val="002D2C99"/>
    <w:rPr>
      <w:rFonts w:eastAsiaTheme="minorEastAsia"/>
      <w:sz w:val="24"/>
    </w:rPr>
  </w:style>
  <w:style w:type="paragraph" w:styleId="Corpodeltesto2">
    <w:name w:val="Body Text 2"/>
    <w:basedOn w:val="Normale"/>
    <w:link w:val="Corpodeltesto2Carattere"/>
    <w:uiPriority w:val="99"/>
    <w:semiHidden/>
    <w:rsid w:val="002D2C99"/>
    <w:pPr>
      <w:spacing w:after="120" w:line="480" w:lineRule="auto"/>
    </w:p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e"/>
    <w:link w:val="JuJudgesChar"/>
    <w:uiPriority w:val="11"/>
    <w:qFormat/>
    <w:rsid w:val="00B62E11"/>
    <w:pPr>
      <w:tabs>
        <w:tab w:val="left" w:pos="567"/>
        <w:tab w:val="left" w:pos="1134"/>
      </w:tabs>
      <w:jc w:val="left"/>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e"/>
    <w:next w:val="ECHRPara"/>
    <w:uiPriority w:val="10"/>
    <w:rsid w:val="00B62E11"/>
    <w:pPr>
      <w:ind w:firstLine="284"/>
    </w:pPr>
    <w:rPr>
      <w:b/>
    </w:rPr>
  </w:style>
  <w:style w:type="character" w:styleId="Numeropagina">
    <w:name w:val="page number"/>
    <w:rsid w:val="002D2C99"/>
    <w:rPr>
      <w:rFonts w:ascii="Times New Roman" w:hAnsi="Times New Roman" w:cs="Times New Roman"/>
      <w:sz w:val="18"/>
    </w:rPr>
  </w:style>
  <w:style w:type="paragraph" w:styleId="Puntoelenco2">
    <w:name w:val="List Bullet 2"/>
    <w:basedOn w:val="Normale"/>
    <w:uiPriority w:val="99"/>
    <w:semiHidden/>
    <w:rsid w:val="002D2C99"/>
    <w:pPr>
      <w:numPr>
        <w:numId w:val="1"/>
      </w:numPr>
      <w:contextualSpacing/>
    </w:pPr>
  </w:style>
  <w:style w:type="character" w:customStyle="1" w:styleId="Corpodeltesto2Carattere">
    <w:name w:val="Corpo del testo 2 Carattere"/>
    <w:basedOn w:val="Carpredefinitoparagrafo"/>
    <w:link w:val="Corpodeltesto2"/>
    <w:uiPriority w:val="99"/>
    <w:semiHidden/>
    <w:rsid w:val="002D2C99"/>
    <w:rPr>
      <w:rFonts w:eastAsiaTheme="minorEastAsia"/>
      <w:sz w:val="24"/>
    </w:rPr>
  </w:style>
  <w:style w:type="paragraph" w:styleId="Corpodeltesto3">
    <w:name w:val="Body Text 3"/>
    <w:basedOn w:val="Normale"/>
    <w:link w:val="Corpodeltesto3Carattere"/>
    <w:uiPriority w:val="99"/>
    <w:semiHidden/>
    <w:rsid w:val="002D2C9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2D2C99"/>
    <w:rPr>
      <w:rFonts w:eastAsiaTheme="minorEastAsia"/>
      <w:sz w:val="16"/>
      <w:szCs w:val="16"/>
    </w:rPr>
  </w:style>
  <w:style w:type="paragraph" w:styleId="Primorientrocorpodeltesto">
    <w:name w:val="Body Text First Indent"/>
    <w:basedOn w:val="Corpotesto"/>
    <w:link w:val="PrimorientrocorpodeltestoCarattere"/>
    <w:uiPriority w:val="99"/>
    <w:semiHidden/>
    <w:rsid w:val="002D2C9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2D2C99"/>
    <w:rPr>
      <w:rFonts w:eastAsiaTheme="minorEastAsia"/>
      <w:sz w:val="24"/>
    </w:rPr>
  </w:style>
  <w:style w:type="paragraph" w:styleId="Rientrocorpodeltesto">
    <w:name w:val="Body Text Indent"/>
    <w:basedOn w:val="Normale"/>
    <w:link w:val="RientrocorpodeltestoCarattere"/>
    <w:uiPriority w:val="99"/>
    <w:semiHidden/>
    <w:rsid w:val="002D2C9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D2C99"/>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2D2C9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2D2C99"/>
    <w:rPr>
      <w:rFonts w:eastAsiaTheme="minorEastAsia"/>
      <w:sz w:val="24"/>
    </w:rPr>
  </w:style>
  <w:style w:type="paragraph" w:styleId="Rientrocorpodeltesto2">
    <w:name w:val="Body Text Indent 2"/>
    <w:basedOn w:val="Normale"/>
    <w:link w:val="Rientrocorpodeltesto2Carattere"/>
    <w:uiPriority w:val="99"/>
    <w:semiHidden/>
    <w:rsid w:val="002D2C9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2D2C99"/>
    <w:rPr>
      <w:rFonts w:eastAsiaTheme="minorEastAsia"/>
      <w:sz w:val="24"/>
    </w:rPr>
  </w:style>
  <w:style w:type="paragraph" w:styleId="Rientrocorpodeltesto3">
    <w:name w:val="Body Text Indent 3"/>
    <w:basedOn w:val="Normale"/>
    <w:link w:val="Rientrocorpodeltesto3Carattere"/>
    <w:uiPriority w:val="99"/>
    <w:semiHidden/>
    <w:rsid w:val="002D2C9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2D2C99"/>
    <w:rPr>
      <w:rFonts w:eastAsiaTheme="minorEastAsia"/>
      <w:sz w:val="16"/>
      <w:szCs w:val="16"/>
    </w:rPr>
  </w:style>
  <w:style w:type="paragraph" w:styleId="Didascalia">
    <w:name w:val="caption"/>
    <w:basedOn w:val="Normale"/>
    <w:next w:val="Normale"/>
    <w:uiPriority w:val="99"/>
    <w:semiHidden/>
    <w:qFormat/>
    <w:rsid w:val="002D2C99"/>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2D2C99"/>
    <w:pPr>
      <w:ind w:left="4252"/>
    </w:pPr>
  </w:style>
  <w:style w:type="character" w:customStyle="1" w:styleId="FormuladichiusuraCarattere">
    <w:name w:val="Formula di chiusura Carattere"/>
    <w:basedOn w:val="Carpredefinitoparagrafo"/>
    <w:link w:val="Formuladichiusura"/>
    <w:uiPriority w:val="99"/>
    <w:semiHidden/>
    <w:rsid w:val="002D2C99"/>
    <w:rPr>
      <w:rFonts w:eastAsiaTheme="minorEastAsia"/>
      <w:sz w:val="24"/>
    </w:rPr>
  </w:style>
  <w:style w:type="table" w:styleId="Grigliaacolori">
    <w:name w:val="Colorful Grid"/>
    <w:basedOn w:val="Tabellanormale"/>
    <w:uiPriority w:val="73"/>
    <w:semiHidden/>
    <w:rsid w:val="002D2C99"/>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2D2C99"/>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2D2C99"/>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2D2C99"/>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2D2C99"/>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2D2C99"/>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2D2C99"/>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2D2C99"/>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2D2C99"/>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2D2C99"/>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2D2C99"/>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2D2C99"/>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2D2C99"/>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2D2C99"/>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2D2C99"/>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2D2C99"/>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2D2C99"/>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2D2C99"/>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2D2C99"/>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2D2C99"/>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2D2C99"/>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Rimandocommento">
    <w:name w:val="annotation reference"/>
    <w:basedOn w:val="Carpredefinitoparagrafo"/>
    <w:semiHidden/>
    <w:rsid w:val="002D2C99"/>
    <w:rPr>
      <w:sz w:val="16"/>
      <w:szCs w:val="16"/>
    </w:rPr>
  </w:style>
  <w:style w:type="paragraph" w:styleId="Testocommento">
    <w:name w:val="annotation text"/>
    <w:basedOn w:val="Normale"/>
    <w:link w:val="TestocommentoCarattere"/>
    <w:semiHidden/>
    <w:rsid w:val="002D2C99"/>
    <w:rPr>
      <w:sz w:val="20"/>
      <w:szCs w:val="20"/>
    </w:rPr>
  </w:style>
  <w:style w:type="character" w:customStyle="1" w:styleId="TestocommentoCarattere">
    <w:name w:val="Testo commento Carattere"/>
    <w:basedOn w:val="Carpredefinitoparagrafo"/>
    <w:link w:val="Testocommento"/>
    <w:uiPriority w:val="99"/>
    <w:semiHidden/>
    <w:rsid w:val="002D2C99"/>
    <w:rPr>
      <w:rFonts w:eastAsiaTheme="minorEastAsia"/>
      <w:sz w:val="20"/>
      <w:szCs w:val="20"/>
    </w:rPr>
  </w:style>
  <w:style w:type="paragraph" w:styleId="Soggettocommento">
    <w:name w:val="annotation subject"/>
    <w:basedOn w:val="Testocommento"/>
    <w:next w:val="Testocommento"/>
    <w:link w:val="SoggettocommentoCarattere"/>
    <w:semiHidden/>
    <w:rsid w:val="002D2C99"/>
    <w:rPr>
      <w:b/>
      <w:bCs/>
    </w:rPr>
  </w:style>
  <w:style w:type="character" w:customStyle="1" w:styleId="SoggettocommentoCarattere">
    <w:name w:val="Soggetto commento Carattere"/>
    <w:basedOn w:val="TestocommentoCarattere"/>
    <w:link w:val="Soggettocommento"/>
    <w:uiPriority w:val="99"/>
    <w:semiHidden/>
    <w:rsid w:val="002D2C99"/>
    <w:rPr>
      <w:rFonts w:eastAsiaTheme="minorEastAsia"/>
      <w:b/>
      <w:bCs/>
      <w:sz w:val="20"/>
      <w:szCs w:val="20"/>
    </w:rPr>
  </w:style>
  <w:style w:type="table" w:styleId="Elencoscuro">
    <w:name w:val="Dark List"/>
    <w:basedOn w:val="Tabellanormale"/>
    <w:uiPriority w:val="70"/>
    <w:semiHidden/>
    <w:rsid w:val="002D2C99"/>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2D2C99"/>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2D2C99"/>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2D2C99"/>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2D2C99"/>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2D2C99"/>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2D2C99"/>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2D2C99"/>
  </w:style>
  <w:style w:type="character" w:customStyle="1" w:styleId="DataCarattere">
    <w:name w:val="Data Carattere"/>
    <w:basedOn w:val="Carpredefinitoparagrafo"/>
    <w:link w:val="Data"/>
    <w:uiPriority w:val="99"/>
    <w:semiHidden/>
    <w:rsid w:val="002D2C99"/>
    <w:rPr>
      <w:rFonts w:eastAsiaTheme="minorEastAsia"/>
      <w:sz w:val="24"/>
    </w:rPr>
  </w:style>
  <w:style w:type="paragraph" w:styleId="Mappadocumento">
    <w:name w:val="Document Map"/>
    <w:basedOn w:val="Normale"/>
    <w:link w:val="MappadocumentoCarattere"/>
    <w:semiHidden/>
    <w:rsid w:val="002D2C9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2D2C99"/>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2D2C99"/>
  </w:style>
  <w:style w:type="character" w:customStyle="1" w:styleId="FirmadipostaelettronicaCarattere">
    <w:name w:val="Firma di posta elettronica Carattere"/>
    <w:basedOn w:val="Carpredefinitoparagrafo"/>
    <w:link w:val="Firmadipostaelettronica"/>
    <w:uiPriority w:val="99"/>
    <w:semiHidden/>
    <w:rsid w:val="002D2C99"/>
    <w:rPr>
      <w:rFonts w:eastAsiaTheme="minorEastAsia"/>
      <w:sz w:val="24"/>
    </w:rPr>
  </w:style>
  <w:style w:type="character" w:styleId="Rimandonotadichiusura">
    <w:name w:val="endnote reference"/>
    <w:basedOn w:val="Carpredefinitoparagrafo"/>
    <w:semiHidden/>
    <w:rsid w:val="002D2C99"/>
    <w:rPr>
      <w:vertAlign w:val="superscript"/>
    </w:rPr>
  </w:style>
  <w:style w:type="paragraph" w:styleId="Testonotadichiusura">
    <w:name w:val="endnote text"/>
    <w:basedOn w:val="Normale"/>
    <w:link w:val="TestonotadichiusuraCarattere"/>
    <w:semiHidden/>
    <w:rsid w:val="002D2C99"/>
    <w:rPr>
      <w:sz w:val="20"/>
      <w:szCs w:val="20"/>
    </w:rPr>
  </w:style>
  <w:style w:type="character" w:customStyle="1" w:styleId="TestonotadichiusuraCarattere">
    <w:name w:val="Testo nota di chiusura Carattere"/>
    <w:basedOn w:val="Carpredefinitoparagrafo"/>
    <w:link w:val="Testonotadichiusura"/>
    <w:uiPriority w:val="99"/>
    <w:semiHidden/>
    <w:rsid w:val="002D2C99"/>
    <w:rPr>
      <w:rFonts w:eastAsiaTheme="minorEastAsia"/>
      <w:sz w:val="20"/>
      <w:szCs w:val="20"/>
    </w:rPr>
  </w:style>
  <w:style w:type="paragraph" w:styleId="Indirizzodestinatario">
    <w:name w:val="envelope address"/>
    <w:basedOn w:val="Normale"/>
    <w:uiPriority w:val="99"/>
    <w:semiHidden/>
    <w:rsid w:val="002D2C99"/>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2D2C99"/>
    <w:rPr>
      <w:rFonts w:asciiTheme="majorHAnsi" w:eastAsiaTheme="majorEastAsia" w:hAnsiTheme="majorHAnsi" w:cstheme="majorBidi"/>
      <w:sz w:val="20"/>
      <w:szCs w:val="20"/>
    </w:rPr>
  </w:style>
  <w:style w:type="character" w:styleId="Collegamentovisitato">
    <w:name w:val="FollowedHyperlink"/>
    <w:basedOn w:val="Carpredefinitoparagrafo"/>
    <w:rsid w:val="002D2C99"/>
    <w:rPr>
      <w:color w:val="7030A0" w:themeColor="followedHyperlink"/>
      <w:u w:val="single"/>
    </w:rPr>
  </w:style>
  <w:style w:type="character" w:styleId="AcronimoHTML">
    <w:name w:val="HTML Acronym"/>
    <w:basedOn w:val="Carpredefinitoparagrafo"/>
    <w:uiPriority w:val="99"/>
    <w:semiHidden/>
    <w:rsid w:val="002D2C99"/>
  </w:style>
  <w:style w:type="paragraph" w:styleId="IndirizzoHTML">
    <w:name w:val="HTML Address"/>
    <w:basedOn w:val="Normale"/>
    <w:link w:val="IndirizzoHTMLCarattere"/>
    <w:uiPriority w:val="99"/>
    <w:semiHidden/>
    <w:rsid w:val="002D2C99"/>
    <w:rPr>
      <w:i/>
      <w:iCs/>
    </w:rPr>
  </w:style>
  <w:style w:type="character" w:customStyle="1" w:styleId="IndirizzoHTMLCarattere">
    <w:name w:val="Indirizzo HTML Carattere"/>
    <w:basedOn w:val="Carpredefinitoparagrafo"/>
    <w:link w:val="IndirizzoHTML"/>
    <w:uiPriority w:val="99"/>
    <w:semiHidden/>
    <w:rsid w:val="002D2C99"/>
    <w:rPr>
      <w:rFonts w:eastAsiaTheme="minorEastAsia"/>
      <w:i/>
      <w:iCs/>
      <w:sz w:val="24"/>
    </w:rPr>
  </w:style>
  <w:style w:type="character" w:styleId="CitazioneHTML">
    <w:name w:val="HTML Cite"/>
    <w:basedOn w:val="Carpredefinitoparagrafo"/>
    <w:uiPriority w:val="99"/>
    <w:semiHidden/>
    <w:rsid w:val="002D2C99"/>
    <w:rPr>
      <w:i/>
      <w:iCs/>
    </w:rPr>
  </w:style>
  <w:style w:type="character" w:styleId="CodiceHTML">
    <w:name w:val="HTML Code"/>
    <w:basedOn w:val="Carpredefinitoparagrafo"/>
    <w:uiPriority w:val="99"/>
    <w:semiHidden/>
    <w:rsid w:val="002D2C99"/>
    <w:rPr>
      <w:rFonts w:ascii="Consolas" w:hAnsi="Consolas" w:cs="Consolas"/>
      <w:sz w:val="20"/>
      <w:szCs w:val="20"/>
    </w:rPr>
  </w:style>
  <w:style w:type="character" w:styleId="DefinizioneHTML">
    <w:name w:val="HTML Definition"/>
    <w:basedOn w:val="Carpredefinitoparagrafo"/>
    <w:uiPriority w:val="99"/>
    <w:semiHidden/>
    <w:rsid w:val="002D2C99"/>
    <w:rPr>
      <w:i/>
      <w:iCs/>
    </w:rPr>
  </w:style>
  <w:style w:type="character" w:styleId="TastieraHTML">
    <w:name w:val="HTML Keyboard"/>
    <w:basedOn w:val="Carpredefinitoparagrafo"/>
    <w:uiPriority w:val="99"/>
    <w:semiHidden/>
    <w:rsid w:val="002D2C99"/>
    <w:rPr>
      <w:rFonts w:ascii="Consolas" w:hAnsi="Consolas" w:cs="Consolas"/>
      <w:sz w:val="20"/>
      <w:szCs w:val="20"/>
    </w:rPr>
  </w:style>
  <w:style w:type="paragraph" w:styleId="PreformattatoHTML">
    <w:name w:val="HTML Preformatted"/>
    <w:basedOn w:val="Normale"/>
    <w:link w:val="PreformattatoHTMLCarattere"/>
    <w:uiPriority w:val="99"/>
    <w:semiHidden/>
    <w:rsid w:val="002D2C99"/>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2D2C99"/>
    <w:rPr>
      <w:rFonts w:ascii="Consolas" w:eastAsiaTheme="minorEastAsia" w:hAnsi="Consolas" w:cs="Consolas"/>
      <w:sz w:val="20"/>
      <w:szCs w:val="20"/>
    </w:rPr>
  </w:style>
  <w:style w:type="character" w:styleId="EsempioHTML">
    <w:name w:val="HTML Sample"/>
    <w:basedOn w:val="Carpredefinitoparagrafo"/>
    <w:uiPriority w:val="99"/>
    <w:semiHidden/>
    <w:rsid w:val="002D2C99"/>
    <w:rPr>
      <w:rFonts w:ascii="Consolas" w:hAnsi="Consolas" w:cs="Consolas"/>
      <w:sz w:val="24"/>
      <w:szCs w:val="24"/>
    </w:rPr>
  </w:style>
  <w:style w:type="character" w:styleId="MacchinadascrivereHTML">
    <w:name w:val="HTML Typewriter"/>
    <w:basedOn w:val="Carpredefinitoparagrafo"/>
    <w:uiPriority w:val="99"/>
    <w:semiHidden/>
    <w:rsid w:val="002D2C99"/>
    <w:rPr>
      <w:rFonts w:ascii="Consolas" w:hAnsi="Consolas" w:cs="Consolas"/>
      <w:sz w:val="20"/>
      <w:szCs w:val="20"/>
    </w:rPr>
  </w:style>
  <w:style w:type="character" w:styleId="VariabileHTML">
    <w:name w:val="HTML Variable"/>
    <w:basedOn w:val="Carpredefinitoparagrafo"/>
    <w:uiPriority w:val="99"/>
    <w:semiHidden/>
    <w:rsid w:val="002D2C99"/>
    <w:rPr>
      <w:i/>
      <w:iCs/>
    </w:rPr>
  </w:style>
  <w:style w:type="paragraph" w:styleId="Indice1">
    <w:name w:val="index 1"/>
    <w:basedOn w:val="Normale"/>
    <w:next w:val="Normale"/>
    <w:autoRedefine/>
    <w:uiPriority w:val="99"/>
    <w:semiHidden/>
    <w:rsid w:val="002D2C99"/>
    <w:pPr>
      <w:ind w:left="240" w:hanging="240"/>
    </w:pPr>
  </w:style>
  <w:style w:type="paragraph" w:styleId="Indice2">
    <w:name w:val="index 2"/>
    <w:basedOn w:val="Normale"/>
    <w:next w:val="Normale"/>
    <w:autoRedefine/>
    <w:uiPriority w:val="99"/>
    <w:semiHidden/>
    <w:rsid w:val="002D2C99"/>
    <w:pPr>
      <w:ind w:left="480" w:hanging="240"/>
    </w:pPr>
  </w:style>
  <w:style w:type="paragraph" w:styleId="Indice3">
    <w:name w:val="index 3"/>
    <w:basedOn w:val="Normale"/>
    <w:next w:val="Normale"/>
    <w:autoRedefine/>
    <w:uiPriority w:val="99"/>
    <w:semiHidden/>
    <w:rsid w:val="002D2C99"/>
    <w:pPr>
      <w:ind w:left="720" w:hanging="240"/>
    </w:pPr>
  </w:style>
  <w:style w:type="paragraph" w:styleId="Indice4">
    <w:name w:val="index 4"/>
    <w:basedOn w:val="Normale"/>
    <w:next w:val="Normale"/>
    <w:autoRedefine/>
    <w:uiPriority w:val="99"/>
    <w:semiHidden/>
    <w:rsid w:val="002D2C99"/>
    <w:pPr>
      <w:ind w:left="960" w:hanging="240"/>
    </w:pPr>
  </w:style>
  <w:style w:type="paragraph" w:styleId="Indice5">
    <w:name w:val="index 5"/>
    <w:basedOn w:val="Normale"/>
    <w:next w:val="Normale"/>
    <w:autoRedefine/>
    <w:uiPriority w:val="99"/>
    <w:semiHidden/>
    <w:rsid w:val="002D2C99"/>
    <w:pPr>
      <w:ind w:left="1200" w:hanging="240"/>
    </w:pPr>
  </w:style>
  <w:style w:type="paragraph" w:styleId="Indice6">
    <w:name w:val="index 6"/>
    <w:basedOn w:val="Normale"/>
    <w:next w:val="Normale"/>
    <w:autoRedefine/>
    <w:uiPriority w:val="99"/>
    <w:semiHidden/>
    <w:rsid w:val="002D2C99"/>
    <w:pPr>
      <w:ind w:left="1440" w:hanging="240"/>
    </w:pPr>
  </w:style>
  <w:style w:type="paragraph" w:styleId="Indice7">
    <w:name w:val="index 7"/>
    <w:basedOn w:val="Normale"/>
    <w:next w:val="Normale"/>
    <w:autoRedefine/>
    <w:uiPriority w:val="99"/>
    <w:semiHidden/>
    <w:rsid w:val="002D2C99"/>
    <w:pPr>
      <w:ind w:left="1680" w:hanging="240"/>
    </w:pPr>
  </w:style>
  <w:style w:type="paragraph" w:styleId="Indice8">
    <w:name w:val="index 8"/>
    <w:basedOn w:val="Normale"/>
    <w:next w:val="Normale"/>
    <w:autoRedefine/>
    <w:uiPriority w:val="99"/>
    <w:semiHidden/>
    <w:rsid w:val="002D2C99"/>
    <w:pPr>
      <w:ind w:left="1920" w:hanging="240"/>
    </w:pPr>
  </w:style>
  <w:style w:type="paragraph" w:styleId="Indice9">
    <w:name w:val="index 9"/>
    <w:basedOn w:val="Normale"/>
    <w:next w:val="Normale"/>
    <w:autoRedefine/>
    <w:uiPriority w:val="99"/>
    <w:semiHidden/>
    <w:rsid w:val="002D2C99"/>
    <w:pPr>
      <w:ind w:left="2160" w:hanging="240"/>
    </w:pPr>
  </w:style>
  <w:style w:type="paragraph" w:styleId="Titoloindice">
    <w:name w:val="index heading"/>
    <w:basedOn w:val="Normale"/>
    <w:next w:val="Indice1"/>
    <w:uiPriority w:val="99"/>
    <w:semiHidden/>
    <w:rsid w:val="002D2C99"/>
    <w:rPr>
      <w:rFonts w:asciiTheme="majorHAnsi" w:eastAsiaTheme="majorEastAsia" w:hAnsiTheme="majorHAnsi" w:cstheme="majorBidi"/>
      <w:b/>
      <w:bCs/>
    </w:rPr>
  </w:style>
  <w:style w:type="table" w:styleId="Grigliachiara">
    <w:name w:val="Light Grid"/>
    <w:basedOn w:val="Tabellanormale"/>
    <w:uiPriority w:val="62"/>
    <w:semiHidden/>
    <w:rsid w:val="002D2C9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2D2C9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2D2C9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2D2C9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2D2C9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2D2C9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2D2C9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2D2C9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2D2C99"/>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2D2C99"/>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2D2C99"/>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2D2C99"/>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2D2C99"/>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2D2C99"/>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2D2C9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2D2C99"/>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2D2C99"/>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2D2C99"/>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2D2C99"/>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2D2C99"/>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2D2C99"/>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2D2C99"/>
  </w:style>
  <w:style w:type="paragraph" w:styleId="Elenco">
    <w:name w:val="List"/>
    <w:basedOn w:val="Normale"/>
    <w:uiPriority w:val="99"/>
    <w:semiHidden/>
    <w:rsid w:val="002D2C99"/>
    <w:pPr>
      <w:ind w:left="283" w:hanging="283"/>
      <w:contextualSpacing/>
    </w:pPr>
  </w:style>
  <w:style w:type="paragraph" w:styleId="Elenco2">
    <w:name w:val="List 2"/>
    <w:basedOn w:val="Normale"/>
    <w:uiPriority w:val="99"/>
    <w:semiHidden/>
    <w:rsid w:val="002D2C99"/>
    <w:pPr>
      <w:ind w:left="566" w:hanging="283"/>
      <w:contextualSpacing/>
    </w:pPr>
  </w:style>
  <w:style w:type="paragraph" w:styleId="Elenco3">
    <w:name w:val="List 3"/>
    <w:basedOn w:val="Normale"/>
    <w:uiPriority w:val="99"/>
    <w:semiHidden/>
    <w:rsid w:val="002D2C99"/>
    <w:pPr>
      <w:ind w:left="849" w:hanging="283"/>
      <w:contextualSpacing/>
    </w:pPr>
  </w:style>
  <w:style w:type="paragraph" w:styleId="Elenco4">
    <w:name w:val="List 4"/>
    <w:basedOn w:val="Normale"/>
    <w:uiPriority w:val="99"/>
    <w:semiHidden/>
    <w:rsid w:val="002D2C99"/>
    <w:pPr>
      <w:ind w:left="1132" w:hanging="283"/>
      <w:contextualSpacing/>
    </w:pPr>
  </w:style>
  <w:style w:type="paragraph" w:styleId="Elenco5">
    <w:name w:val="List 5"/>
    <w:basedOn w:val="Normale"/>
    <w:uiPriority w:val="99"/>
    <w:semiHidden/>
    <w:rsid w:val="002D2C99"/>
    <w:pPr>
      <w:ind w:left="1415" w:hanging="283"/>
      <w:contextualSpacing/>
    </w:pPr>
  </w:style>
  <w:style w:type="paragraph" w:styleId="Puntoelenco">
    <w:name w:val="List Bullet"/>
    <w:basedOn w:val="Normale"/>
    <w:rsid w:val="002D2C99"/>
    <w:pPr>
      <w:numPr>
        <w:numId w:val="5"/>
      </w:numPr>
      <w:contextualSpacing/>
    </w:pPr>
  </w:style>
  <w:style w:type="paragraph" w:styleId="Puntoelenco3">
    <w:name w:val="List Bullet 3"/>
    <w:basedOn w:val="Normale"/>
    <w:uiPriority w:val="99"/>
    <w:semiHidden/>
    <w:rsid w:val="002D2C99"/>
    <w:pPr>
      <w:numPr>
        <w:numId w:val="6"/>
      </w:numPr>
      <w:contextualSpacing/>
    </w:pPr>
  </w:style>
  <w:style w:type="paragraph" w:styleId="Puntoelenco4">
    <w:name w:val="List Bullet 4"/>
    <w:basedOn w:val="Normale"/>
    <w:uiPriority w:val="99"/>
    <w:semiHidden/>
    <w:rsid w:val="002D2C99"/>
    <w:pPr>
      <w:numPr>
        <w:numId w:val="7"/>
      </w:numPr>
      <w:contextualSpacing/>
    </w:pPr>
  </w:style>
  <w:style w:type="paragraph" w:styleId="Puntoelenco5">
    <w:name w:val="List Bullet 5"/>
    <w:basedOn w:val="Normale"/>
    <w:uiPriority w:val="99"/>
    <w:semiHidden/>
    <w:rsid w:val="002D2C99"/>
    <w:pPr>
      <w:numPr>
        <w:numId w:val="8"/>
      </w:numPr>
      <w:contextualSpacing/>
    </w:pPr>
  </w:style>
  <w:style w:type="paragraph" w:styleId="Elencocontinua">
    <w:name w:val="List Continue"/>
    <w:basedOn w:val="Normale"/>
    <w:uiPriority w:val="99"/>
    <w:semiHidden/>
    <w:rsid w:val="002D2C99"/>
    <w:pPr>
      <w:spacing w:after="120"/>
      <w:ind w:left="283"/>
      <w:contextualSpacing/>
    </w:pPr>
  </w:style>
  <w:style w:type="paragraph" w:styleId="Elencocontinua2">
    <w:name w:val="List Continue 2"/>
    <w:basedOn w:val="Normale"/>
    <w:uiPriority w:val="99"/>
    <w:semiHidden/>
    <w:rsid w:val="002D2C99"/>
    <w:pPr>
      <w:spacing w:after="120"/>
      <w:ind w:left="566"/>
      <w:contextualSpacing/>
    </w:pPr>
  </w:style>
  <w:style w:type="paragraph" w:styleId="Elencocontinua3">
    <w:name w:val="List Continue 3"/>
    <w:basedOn w:val="Normale"/>
    <w:uiPriority w:val="99"/>
    <w:semiHidden/>
    <w:rsid w:val="002D2C99"/>
    <w:pPr>
      <w:spacing w:after="120"/>
      <w:ind w:left="849"/>
      <w:contextualSpacing/>
    </w:pPr>
  </w:style>
  <w:style w:type="paragraph" w:styleId="Elencocontinua4">
    <w:name w:val="List Continue 4"/>
    <w:basedOn w:val="Normale"/>
    <w:uiPriority w:val="99"/>
    <w:semiHidden/>
    <w:rsid w:val="002D2C99"/>
    <w:pPr>
      <w:spacing w:after="120"/>
      <w:ind w:left="1132"/>
      <w:contextualSpacing/>
    </w:pPr>
  </w:style>
  <w:style w:type="paragraph" w:styleId="Elencocontinua5">
    <w:name w:val="List Continue 5"/>
    <w:basedOn w:val="Normale"/>
    <w:uiPriority w:val="99"/>
    <w:semiHidden/>
    <w:rsid w:val="002D2C99"/>
    <w:pPr>
      <w:spacing w:after="120"/>
      <w:ind w:left="1415"/>
      <w:contextualSpacing/>
    </w:pPr>
  </w:style>
  <w:style w:type="paragraph" w:styleId="Numeroelenco">
    <w:name w:val="List Number"/>
    <w:basedOn w:val="Normale"/>
    <w:uiPriority w:val="99"/>
    <w:semiHidden/>
    <w:rsid w:val="002D2C99"/>
    <w:pPr>
      <w:numPr>
        <w:numId w:val="9"/>
      </w:numPr>
      <w:contextualSpacing/>
    </w:pPr>
  </w:style>
  <w:style w:type="paragraph" w:styleId="Numeroelenco2">
    <w:name w:val="List Number 2"/>
    <w:basedOn w:val="Normale"/>
    <w:uiPriority w:val="99"/>
    <w:semiHidden/>
    <w:rsid w:val="002D2C99"/>
    <w:pPr>
      <w:numPr>
        <w:numId w:val="10"/>
      </w:numPr>
      <w:contextualSpacing/>
    </w:pPr>
  </w:style>
  <w:style w:type="paragraph" w:styleId="Numeroelenco3">
    <w:name w:val="List Number 3"/>
    <w:basedOn w:val="Normale"/>
    <w:uiPriority w:val="99"/>
    <w:semiHidden/>
    <w:rsid w:val="002D2C99"/>
    <w:pPr>
      <w:numPr>
        <w:numId w:val="11"/>
      </w:numPr>
      <w:contextualSpacing/>
    </w:pPr>
  </w:style>
  <w:style w:type="paragraph" w:styleId="Numeroelenco4">
    <w:name w:val="List Number 4"/>
    <w:basedOn w:val="Normale"/>
    <w:uiPriority w:val="99"/>
    <w:semiHidden/>
    <w:rsid w:val="002D2C99"/>
    <w:pPr>
      <w:numPr>
        <w:numId w:val="12"/>
      </w:numPr>
      <w:contextualSpacing/>
    </w:pPr>
  </w:style>
  <w:style w:type="paragraph" w:styleId="Numeroelenco5">
    <w:name w:val="List Number 5"/>
    <w:basedOn w:val="Normale"/>
    <w:uiPriority w:val="99"/>
    <w:semiHidden/>
    <w:rsid w:val="002D2C99"/>
    <w:pPr>
      <w:numPr>
        <w:numId w:val="13"/>
      </w:numPr>
      <w:contextualSpacing/>
    </w:pPr>
  </w:style>
  <w:style w:type="paragraph" w:styleId="Testomacro">
    <w:name w:val="macro"/>
    <w:link w:val="TestomacroCarattere"/>
    <w:uiPriority w:val="99"/>
    <w:semiHidden/>
    <w:rsid w:val="002D2C99"/>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2D2C99"/>
    <w:rPr>
      <w:rFonts w:ascii="Consolas" w:eastAsiaTheme="minorEastAsia" w:hAnsi="Consolas" w:cs="Consolas"/>
      <w:sz w:val="20"/>
      <w:szCs w:val="20"/>
    </w:rPr>
  </w:style>
  <w:style w:type="table" w:styleId="Grigliamedia1">
    <w:name w:val="Medium Grid 1"/>
    <w:basedOn w:val="Tabellanormale"/>
    <w:uiPriority w:val="67"/>
    <w:semiHidden/>
    <w:rsid w:val="002D2C9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2D2C9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2D2C9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2D2C9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2D2C9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2D2C9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2D2C9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2D2C99"/>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2D2C9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2D2C99"/>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2D2C99"/>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2D2C99"/>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2D2C99"/>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2D2C99"/>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2D2C99"/>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2D2C99"/>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2D2C9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2D2C99"/>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2D2C99"/>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2D2C99"/>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2D2C99"/>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2D2C99"/>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2D2C99"/>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2D2C9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2D2C9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2D2C99"/>
    <w:rPr>
      <w:rFonts w:asciiTheme="majorHAnsi" w:eastAsiaTheme="majorEastAsia" w:hAnsiTheme="majorHAnsi" w:cstheme="majorBidi"/>
      <w:sz w:val="24"/>
      <w:szCs w:val="24"/>
      <w:shd w:val="pct20" w:color="auto" w:fill="auto"/>
    </w:rPr>
  </w:style>
  <w:style w:type="paragraph" w:styleId="NormaleWeb">
    <w:name w:val="Normal (Web)"/>
    <w:basedOn w:val="Normale"/>
    <w:uiPriority w:val="99"/>
    <w:rsid w:val="002D2C99"/>
    <w:rPr>
      <w:rFonts w:ascii="Times New Roman" w:hAnsi="Times New Roman" w:cs="Times New Roman"/>
      <w:szCs w:val="24"/>
    </w:rPr>
  </w:style>
  <w:style w:type="paragraph" w:styleId="Rientronormale">
    <w:name w:val="Normal Indent"/>
    <w:basedOn w:val="Normale"/>
    <w:uiPriority w:val="99"/>
    <w:semiHidden/>
    <w:rsid w:val="002D2C99"/>
    <w:pPr>
      <w:ind w:left="720"/>
    </w:pPr>
  </w:style>
  <w:style w:type="paragraph" w:styleId="Intestazionenota">
    <w:name w:val="Note Heading"/>
    <w:basedOn w:val="Normale"/>
    <w:next w:val="Normale"/>
    <w:link w:val="IntestazionenotaCarattere"/>
    <w:uiPriority w:val="99"/>
    <w:semiHidden/>
    <w:rsid w:val="002D2C99"/>
  </w:style>
  <w:style w:type="character" w:customStyle="1" w:styleId="IntestazionenotaCarattere">
    <w:name w:val="Intestazione nota Carattere"/>
    <w:basedOn w:val="Carpredefinitoparagrafo"/>
    <w:link w:val="Intestazionenota"/>
    <w:uiPriority w:val="99"/>
    <w:semiHidden/>
    <w:rsid w:val="002D2C99"/>
    <w:rPr>
      <w:rFonts w:eastAsiaTheme="minorEastAsia"/>
      <w:sz w:val="24"/>
    </w:rPr>
  </w:style>
  <w:style w:type="character" w:styleId="Testosegnaposto">
    <w:name w:val="Placeholder Text"/>
    <w:basedOn w:val="Carpredefinitoparagrafo"/>
    <w:uiPriority w:val="99"/>
    <w:semiHidden/>
    <w:rsid w:val="002D2C99"/>
    <w:rPr>
      <w:color w:val="808080"/>
    </w:rPr>
  </w:style>
  <w:style w:type="paragraph" w:styleId="Testonormale">
    <w:name w:val="Plain Text"/>
    <w:basedOn w:val="Normale"/>
    <w:link w:val="TestonormaleCarattere"/>
    <w:uiPriority w:val="99"/>
    <w:semiHidden/>
    <w:rsid w:val="002D2C99"/>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2D2C99"/>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2D2C99"/>
  </w:style>
  <w:style w:type="character" w:customStyle="1" w:styleId="FormuladiaperturaCarattere">
    <w:name w:val="Formula di apertura Carattere"/>
    <w:basedOn w:val="Carpredefinitoparagrafo"/>
    <w:link w:val="Formuladiapertura"/>
    <w:uiPriority w:val="99"/>
    <w:semiHidden/>
    <w:rsid w:val="002D2C99"/>
    <w:rPr>
      <w:rFonts w:eastAsiaTheme="minorEastAsia"/>
      <w:sz w:val="24"/>
    </w:rPr>
  </w:style>
  <w:style w:type="paragraph" w:styleId="Firma">
    <w:name w:val="Signature"/>
    <w:basedOn w:val="Normale"/>
    <w:link w:val="FirmaCarattere"/>
    <w:uiPriority w:val="99"/>
    <w:semiHidden/>
    <w:rsid w:val="002D2C99"/>
    <w:pPr>
      <w:ind w:left="4252"/>
    </w:pPr>
  </w:style>
  <w:style w:type="character" w:customStyle="1" w:styleId="FirmaCarattere">
    <w:name w:val="Firma Carattere"/>
    <w:basedOn w:val="Carpredefinitoparagrafo"/>
    <w:link w:val="Firma"/>
    <w:uiPriority w:val="99"/>
    <w:semiHidden/>
    <w:rsid w:val="002D2C99"/>
    <w:rPr>
      <w:rFonts w:eastAsiaTheme="minorEastAsia"/>
      <w:sz w:val="24"/>
    </w:rPr>
  </w:style>
  <w:style w:type="table" w:styleId="Tabellaeffetti3D1">
    <w:name w:val="Table 3D effects 1"/>
    <w:basedOn w:val="Tabellanormale"/>
    <w:uiPriority w:val="99"/>
    <w:semiHidden/>
    <w:unhideWhenUsed/>
    <w:rsid w:val="002D2C99"/>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2D2C99"/>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2D2C99"/>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2D2C99"/>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2D2C99"/>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2D2C99"/>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2D2C99"/>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2D2C99"/>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2D2C99"/>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2D2C99"/>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2D2C99"/>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2D2C99"/>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2D2C99"/>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2D2C99"/>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2D2C99"/>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2D2C99"/>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2D2C99"/>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2D2C9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2D2C99"/>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2D2C99"/>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2D2C99"/>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2D2C99"/>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2D2C99"/>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2D2C99"/>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2D2C99"/>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2D2C99"/>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2D2C99"/>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2D2C99"/>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2D2C99"/>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2D2C99"/>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2D2C99"/>
    <w:pPr>
      <w:ind w:left="240" w:hanging="240"/>
    </w:pPr>
  </w:style>
  <w:style w:type="paragraph" w:styleId="Indicedellefigure">
    <w:name w:val="table of figures"/>
    <w:basedOn w:val="Normale"/>
    <w:next w:val="Normale"/>
    <w:uiPriority w:val="99"/>
    <w:semiHidden/>
    <w:rsid w:val="002D2C99"/>
  </w:style>
  <w:style w:type="table" w:styleId="Tabellaprofessionale">
    <w:name w:val="Table Professional"/>
    <w:basedOn w:val="Tabellanormale"/>
    <w:uiPriority w:val="99"/>
    <w:semiHidden/>
    <w:unhideWhenUsed/>
    <w:rsid w:val="002D2C99"/>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2D2C99"/>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2D2C99"/>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2D2C99"/>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2D2C99"/>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2D2C99"/>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2D2C9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2D2C99"/>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2D2C99"/>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2D2C99"/>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2D2C99"/>
    <w:pPr>
      <w:spacing w:after="100"/>
      <w:ind w:left="1200"/>
    </w:pPr>
  </w:style>
  <w:style w:type="paragraph" w:styleId="Sommario7">
    <w:name w:val="toc 7"/>
    <w:basedOn w:val="Normale"/>
    <w:next w:val="Normale"/>
    <w:autoRedefine/>
    <w:uiPriority w:val="99"/>
    <w:semiHidden/>
    <w:rsid w:val="002D2C99"/>
    <w:pPr>
      <w:spacing w:after="100"/>
      <w:ind w:left="1440"/>
    </w:pPr>
  </w:style>
  <w:style w:type="paragraph" w:styleId="Sommario8">
    <w:name w:val="toc 8"/>
    <w:basedOn w:val="Normale"/>
    <w:next w:val="Normale"/>
    <w:autoRedefine/>
    <w:uiPriority w:val="99"/>
    <w:semiHidden/>
    <w:rsid w:val="002D2C99"/>
    <w:pPr>
      <w:spacing w:after="100"/>
      <w:ind w:left="1680"/>
    </w:pPr>
  </w:style>
  <w:style w:type="paragraph" w:styleId="Sommario9">
    <w:name w:val="toc 9"/>
    <w:basedOn w:val="Normale"/>
    <w:next w:val="Normale"/>
    <w:autoRedefine/>
    <w:uiPriority w:val="99"/>
    <w:semiHidden/>
    <w:rsid w:val="002D2C99"/>
    <w:pPr>
      <w:spacing w:after="100"/>
      <w:ind w:left="1920"/>
    </w:pPr>
  </w:style>
  <w:style w:type="paragraph" w:customStyle="1" w:styleId="DecHTitle">
    <w:name w:val="Dec_H_Title"/>
    <w:basedOn w:val="ECHRTitleCentre1"/>
    <w:uiPriority w:val="7"/>
    <w:qFormat/>
    <w:rsid w:val="00B62E11"/>
  </w:style>
  <w:style w:type="character" w:customStyle="1" w:styleId="ECHRParaChar">
    <w:name w:val="ECHR_Para Char"/>
    <w:aliases w:val="Ju_Para Char"/>
    <w:link w:val="ECHRPara"/>
    <w:uiPriority w:val="12"/>
    <w:rsid w:val="007B2119"/>
    <w:rPr>
      <w:rFonts w:eastAsiaTheme="minorEastAsia"/>
      <w:sz w:val="24"/>
    </w:rPr>
  </w:style>
  <w:style w:type="character" w:customStyle="1" w:styleId="JuHIRomanChar">
    <w:name w:val="Ju_H_I_Roman Char"/>
    <w:link w:val="ECHRHeading1"/>
    <w:uiPriority w:val="19"/>
    <w:rsid w:val="007B2119"/>
    <w:rPr>
      <w:rFonts w:asciiTheme="majorHAnsi" w:eastAsiaTheme="majorEastAsia" w:hAnsiTheme="majorHAnsi" w:cstheme="majorBidi"/>
      <w:bCs/>
      <w:sz w:val="24"/>
      <w:szCs w:val="28"/>
    </w:rPr>
  </w:style>
  <w:style w:type="paragraph" w:customStyle="1" w:styleId="JuCourt">
    <w:name w:val="Ju_Court"/>
    <w:basedOn w:val="Normale"/>
    <w:next w:val="Normale"/>
    <w:uiPriority w:val="16"/>
    <w:qFormat/>
    <w:rsid w:val="00B62E11"/>
    <w:pPr>
      <w:tabs>
        <w:tab w:val="left" w:pos="907"/>
        <w:tab w:val="left" w:pos="1701"/>
        <w:tab w:val="right" w:pos="7371"/>
      </w:tabs>
      <w:spacing w:before="240"/>
      <w:ind w:left="397" w:hanging="397"/>
      <w:jc w:val="left"/>
    </w:pPr>
    <w:rPr>
      <w:lang w:bidi="en-US"/>
    </w:rPr>
  </w:style>
  <w:style w:type="character" w:customStyle="1" w:styleId="JuJudgesChar">
    <w:name w:val="Ju_Judges Char"/>
    <w:link w:val="ECHRDecisionBody"/>
    <w:uiPriority w:val="11"/>
    <w:rsid w:val="007B2119"/>
    <w:rPr>
      <w:rFonts w:eastAsiaTheme="minorEastAsia"/>
      <w:sz w:val="24"/>
    </w:rPr>
  </w:style>
  <w:style w:type="paragraph" w:customStyle="1" w:styleId="DecList">
    <w:name w:val="Dec_List"/>
    <w:basedOn w:val="Normale"/>
    <w:uiPriority w:val="9"/>
    <w:qFormat/>
    <w:rsid w:val="00B62E11"/>
    <w:pPr>
      <w:spacing w:before="240"/>
      <w:ind w:left="284"/>
    </w:pPr>
  </w:style>
  <w:style w:type="paragraph" w:customStyle="1" w:styleId="OpiH1">
    <w:name w:val="Opi_H_1"/>
    <w:basedOn w:val="ECHRHeading2"/>
    <w:uiPriority w:val="42"/>
    <w:semiHidden/>
    <w:qFormat/>
    <w:rsid w:val="00B62E11"/>
    <w:pPr>
      <w:ind w:left="635" w:hanging="357"/>
      <w:outlineLvl w:val="2"/>
    </w:pPr>
  </w:style>
  <w:style w:type="paragraph" w:customStyle="1" w:styleId="OpiHa0">
    <w:name w:val="Opi_H_a"/>
    <w:basedOn w:val="ECHRHeading3"/>
    <w:uiPriority w:val="43"/>
    <w:semiHidden/>
    <w:qFormat/>
    <w:rsid w:val="00B62E11"/>
    <w:pPr>
      <w:ind w:left="833" w:hanging="357"/>
      <w:outlineLvl w:val="3"/>
    </w:pPr>
    <w:rPr>
      <w:b/>
      <w:i w:val="0"/>
      <w:sz w:val="20"/>
    </w:rPr>
  </w:style>
  <w:style w:type="paragraph" w:customStyle="1" w:styleId="OpiHi">
    <w:name w:val="Opi_H_i"/>
    <w:basedOn w:val="ECHRHeading4"/>
    <w:uiPriority w:val="44"/>
    <w:semiHidden/>
    <w:qFormat/>
    <w:rsid w:val="00B62E11"/>
    <w:pPr>
      <w:ind w:left="1037" w:hanging="357"/>
      <w:outlineLvl w:val="4"/>
    </w:pPr>
    <w:rPr>
      <w:b w:val="0"/>
      <w:i/>
    </w:rPr>
  </w:style>
  <w:style w:type="paragraph" w:customStyle="1" w:styleId="DummyStyle">
    <w:name w:val="Dummy_Style"/>
    <w:basedOn w:val="Normale"/>
    <w:semiHidden/>
    <w:qFormat/>
    <w:rsid w:val="00B62E11"/>
    <w:rPr>
      <w:color w:val="00B05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hudoc.echr.coe.int/e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69E0C-DD7D-45B3-BDF9-442D3053FD53}">
  <ds:schemaRefs>
    <ds:schemaRef ds:uri="http://schemas.microsoft.com/sharepoint/v3/contenttype/forms"/>
  </ds:schemaRefs>
</ds:datastoreItem>
</file>

<file path=customXml/itemProps2.xml><?xml version="1.0" encoding="utf-8"?>
<ds:datastoreItem xmlns:ds="http://schemas.openxmlformats.org/officeDocument/2006/customXml" ds:itemID="{FA065C28-6D77-4A4C-A631-953D5AACD1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64E0F4-8A69-4FA3-A66D-C83EB5239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3F2594-194C-4DFC-A5FB-B1AAC8F52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6261</Words>
  <Characters>35691</Characters>
  <Application>Microsoft Office Word</Application>
  <DocSecurity>0</DocSecurity>
  <Lines>297</Lines>
  <Paragraphs>83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41869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2015-12-10T10:35:00Z</dcterms:created>
  <dcterms:modified xsi:type="dcterms:W3CDTF">2015-12-10T10:35:00Z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